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C9ADA" w14:textId="77777777" w:rsidR="00431FE1" w:rsidRPr="00431FE1" w:rsidRDefault="00431FE1" w:rsidP="00431FE1">
      <w:pPr>
        <w:pBdr>
          <w:top w:val="nil"/>
          <w:left w:val="nil"/>
          <w:bottom w:val="nil"/>
          <w:right w:val="nil"/>
          <w:between w:val="nil"/>
        </w:pBdr>
        <w:spacing w:line="240" w:lineRule="auto"/>
        <w:rPr>
          <w:b/>
          <w:sz w:val="32"/>
          <w:szCs w:val="32"/>
          <w:u w:val="single"/>
        </w:rPr>
      </w:pPr>
      <w:r w:rsidRPr="00431FE1">
        <w:rPr>
          <w:b/>
          <w:sz w:val="32"/>
          <w:szCs w:val="32"/>
          <w:u w:val="single"/>
        </w:rPr>
        <w:t>Kapittel 17 Olje og gass</w:t>
      </w:r>
    </w:p>
    <w:p w14:paraId="297D9887" w14:textId="3F6CC395" w:rsidR="00431FE1" w:rsidRPr="00D73635" w:rsidRDefault="00D73635" w:rsidP="00D73635">
      <w:pPr>
        <w:spacing w:line="240" w:lineRule="auto"/>
        <w:rPr>
          <w:i/>
          <w:sz w:val="24"/>
          <w:szCs w:val="24"/>
          <w:lang w:val="nb-NO"/>
        </w:rPr>
      </w:pPr>
      <w:r>
        <w:rPr>
          <w:i/>
          <w:sz w:val="24"/>
          <w:szCs w:val="24"/>
          <w:lang w:val="nb-NO"/>
        </w:rPr>
        <w:t>Endelig oppdatert: 04</w:t>
      </w:r>
      <w:r w:rsidRPr="008C07DA">
        <w:rPr>
          <w:i/>
          <w:sz w:val="24"/>
          <w:szCs w:val="24"/>
          <w:lang w:val="nb-NO"/>
        </w:rPr>
        <w:t>.11.2020</w:t>
      </w:r>
      <w:bookmarkStart w:id="0" w:name="_GoBack"/>
      <w:bookmarkEnd w:id="0"/>
    </w:p>
    <w:p w14:paraId="38DB5A68" w14:textId="77777777" w:rsidR="00D52E7B" w:rsidRPr="00431FE1" w:rsidRDefault="00D52E7B" w:rsidP="00431FE1">
      <w:pPr>
        <w:pBdr>
          <w:top w:val="nil"/>
          <w:left w:val="nil"/>
          <w:bottom w:val="nil"/>
          <w:right w:val="nil"/>
          <w:between w:val="nil"/>
        </w:pBdr>
        <w:spacing w:line="240" w:lineRule="auto"/>
        <w:rPr>
          <w:b/>
          <w:sz w:val="32"/>
          <w:szCs w:val="32"/>
          <w:u w:val="single"/>
        </w:rPr>
      </w:pPr>
    </w:p>
    <w:p w14:paraId="65010C13" w14:textId="4F4A3A6A" w:rsidR="00D52E7B" w:rsidRPr="00431FE1" w:rsidRDefault="00431FE1" w:rsidP="00D52E7B">
      <w:pPr>
        <w:tabs>
          <w:tab w:val="left" w:pos="5340"/>
        </w:tabs>
        <w:rPr>
          <w:b/>
          <w:i/>
          <w:sz w:val="24"/>
          <w:szCs w:val="24"/>
          <w:u w:val="single"/>
        </w:rPr>
      </w:pPr>
      <w:r w:rsidRPr="00431FE1">
        <w:rPr>
          <w:b/>
          <w:i/>
          <w:sz w:val="24"/>
          <w:szCs w:val="24"/>
          <w:u w:val="single"/>
        </w:rPr>
        <w:t>Oversikt over forslagene til dette kapitlet:</w:t>
      </w:r>
    </w:p>
    <w:p w14:paraId="13E28D12" w14:textId="77777777" w:rsidR="00431FE1" w:rsidRDefault="00431FE1" w:rsidP="00431FE1">
      <w:pPr>
        <w:pBdr>
          <w:top w:val="nil"/>
          <w:left w:val="nil"/>
          <w:bottom w:val="nil"/>
          <w:right w:val="nil"/>
          <w:between w:val="nil"/>
        </w:pBdr>
        <w:spacing w:line="240" w:lineRule="auto"/>
        <w:rPr>
          <w:b/>
          <w:sz w:val="32"/>
          <w:szCs w:val="32"/>
          <w:u w:val="single"/>
        </w:rPr>
      </w:pPr>
    </w:p>
    <w:p w14:paraId="6DAFD5D6" w14:textId="77777777" w:rsidR="00D52E7B" w:rsidRPr="00431FE1" w:rsidRDefault="00D52E7B" w:rsidP="00431FE1">
      <w:pPr>
        <w:pBdr>
          <w:top w:val="nil"/>
          <w:left w:val="nil"/>
          <w:bottom w:val="nil"/>
          <w:right w:val="nil"/>
          <w:between w:val="nil"/>
        </w:pBdr>
        <w:spacing w:line="240" w:lineRule="auto"/>
        <w:rPr>
          <w:b/>
          <w:sz w:val="32"/>
          <w:szCs w:val="32"/>
          <w:u w:val="single"/>
        </w:rPr>
      </w:pPr>
    </w:p>
    <w:tbl>
      <w:tblPr>
        <w:tblStyle w:val="Tabellrutenett"/>
        <w:tblW w:w="9322" w:type="dxa"/>
        <w:tblLook w:val="04A0" w:firstRow="1" w:lastRow="0" w:firstColumn="1" w:lastColumn="0" w:noHBand="0" w:noVBand="1"/>
      </w:tblPr>
      <w:tblGrid>
        <w:gridCol w:w="2231"/>
        <w:gridCol w:w="2180"/>
        <w:gridCol w:w="2456"/>
        <w:gridCol w:w="2455"/>
      </w:tblGrid>
      <w:tr w:rsidR="00431FE1" w:rsidRPr="00431FE1" w14:paraId="5B627C8D" w14:textId="77777777" w:rsidTr="00987775">
        <w:tc>
          <w:tcPr>
            <w:tcW w:w="2231" w:type="dxa"/>
          </w:tcPr>
          <w:p w14:paraId="754AA169" w14:textId="77777777" w:rsidR="00431FE1" w:rsidRPr="00431FE1" w:rsidRDefault="00431FE1" w:rsidP="00D52E7B">
            <w:pPr>
              <w:jc w:val="center"/>
              <w:rPr>
                <w:b/>
                <w:sz w:val="24"/>
                <w:szCs w:val="24"/>
                <w:lang w:val="nb-NO"/>
              </w:rPr>
            </w:pPr>
            <w:r w:rsidRPr="00431FE1">
              <w:rPr>
                <w:b/>
                <w:sz w:val="24"/>
                <w:szCs w:val="24"/>
                <w:lang w:val="nb-NO"/>
              </w:rPr>
              <w:t>Kapittel</w:t>
            </w:r>
          </w:p>
        </w:tc>
        <w:tc>
          <w:tcPr>
            <w:tcW w:w="2180" w:type="dxa"/>
          </w:tcPr>
          <w:p w14:paraId="4B1F29FC" w14:textId="77777777" w:rsidR="00431FE1" w:rsidRPr="00431FE1" w:rsidRDefault="00431FE1" w:rsidP="00D52E7B">
            <w:pPr>
              <w:jc w:val="center"/>
              <w:rPr>
                <w:b/>
                <w:sz w:val="24"/>
                <w:szCs w:val="24"/>
                <w:lang w:val="nb-NO"/>
              </w:rPr>
            </w:pPr>
            <w:r w:rsidRPr="00431FE1">
              <w:rPr>
                <w:b/>
                <w:sz w:val="24"/>
                <w:szCs w:val="24"/>
                <w:lang w:val="nb-NO"/>
              </w:rPr>
              <w:t>Punkt</w:t>
            </w:r>
          </w:p>
        </w:tc>
        <w:tc>
          <w:tcPr>
            <w:tcW w:w="2456" w:type="dxa"/>
          </w:tcPr>
          <w:p w14:paraId="059A97AB" w14:textId="77777777" w:rsidR="00431FE1" w:rsidRPr="00431FE1" w:rsidRDefault="00431FE1" w:rsidP="00D52E7B">
            <w:pPr>
              <w:jc w:val="center"/>
              <w:rPr>
                <w:b/>
                <w:sz w:val="24"/>
                <w:szCs w:val="24"/>
                <w:lang w:val="nb-NO"/>
              </w:rPr>
            </w:pPr>
            <w:r w:rsidRPr="00431FE1">
              <w:rPr>
                <w:b/>
                <w:sz w:val="24"/>
                <w:szCs w:val="24"/>
                <w:lang w:val="nb-NO"/>
              </w:rPr>
              <w:t>Linjenr</w:t>
            </w:r>
          </w:p>
        </w:tc>
        <w:tc>
          <w:tcPr>
            <w:tcW w:w="2455" w:type="dxa"/>
          </w:tcPr>
          <w:p w14:paraId="16B93CE9" w14:textId="77777777" w:rsidR="00431FE1" w:rsidRPr="00431FE1" w:rsidRDefault="00431FE1" w:rsidP="00D52E7B">
            <w:pPr>
              <w:jc w:val="center"/>
              <w:rPr>
                <w:b/>
                <w:sz w:val="24"/>
                <w:szCs w:val="24"/>
                <w:lang w:val="nb-NO"/>
              </w:rPr>
            </w:pPr>
            <w:r w:rsidRPr="00431FE1">
              <w:rPr>
                <w:b/>
                <w:sz w:val="24"/>
                <w:szCs w:val="24"/>
                <w:lang w:val="nb-NO"/>
              </w:rPr>
              <w:t>Type forslag</w:t>
            </w:r>
          </w:p>
        </w:tc>
      </w:tr>
      <w:tr w:rsidR="00431FE1" w:rsidRPr="00431FE1" w14:paraId="3E068C73" w14:textId="77777777" w:rsidTr="00987775">
        <w:tc>
          <w:tcPr>
            <w:tcW w:w="2231" w:type="dxa"/>
          </w:tcPr>
          <w:p w14:paraId="6C51191E" w14:textId="77777777" w:rsidR="00431FE1" w:rsidRPr="00431FE1" w:rsidRDefault="00431FE1" w:rsidP="00D52E7B">
            <w:pPr>
              <w:jc w:val="center"/>
              <w:rPr>
                <w:b/>
                <w:sz w:val="24"/>
                <w:szCs w:val="24"/>
                <w:lang w:val="nb-NO"/>
              </w:rPr>
            </w:pPr>
            <w:r w:rsidRPr="00431FE1">
              <w:rPr>
                <w:b/>
                <w:sz w:val="24"/>
                <w:szCs w:val="24"/>
              </w:rPr>
              <w:t>17 Olje og gass</w:t>
            </w:r>
          </w:p>
        </w:tc>
        <w:tc>
          <w:tcPr>
            <w:tcW w:w="2180" w:type="dxa"/>
          </w:tcPr>
          <w:p w14:paraId="7E3D8350" w14:textId="77777777" w:rsidR="00431FE1" w:rsidRPr="00431FE1" w:rsidRDefault="00431FE1" w:rsidP="00D52E7B">
            <w:pPr>
              <w:jc w:val="center"/>
              <w:rPr>
                <w:sz w:val="24"/>
                <w:szCs w:val="24"/>
                <w:lang w:val="nb-NO"/>
              </w:rPr>
            </w:pPr>
            <w:r w:rsidRPr="00431FE1">
              <w:rPr>
                <w:sz w:val="24"/>
                <w:szCs w:val="24"/>
              </w:rPr>
              <w:t>17.1</w:t>
            </w:r>
          </w:p>
        </w:tc>
        <w:tc>
          <w:tcPr>
            <w:tcW w:w="2456" w:type="dxa"/>
          </w:tcPr>
          <w:p w14:paraId="18E3982A" w14:textId="77777777" w:rsidR="00431FE1" w:rsidRPr="00431FE1" w:rsidRDefault="00431FE1" w:rsidP="00D52E7B">
            <w:pPr>
              <w:jc w:val="center"/>
              <w:rPr>
                <w:sz w:val="24"/>
                <w:szCs w:val="24"/>
                <w:lang w:val="nb-NO"/>
              </w:rPr>
            </w:pPr>
            <w:r w:rsidRPr="00431FE1">
              <w:rPr>
                <w:sz w:val="24"/>
                <w:szCs w:val="24"/>
              </w:rPr>
              <w:t>1792</w:t>
            </w:r>
          </w:p>
        </w:tc>
        <w:tc>
          <w:tcPr>
            <w:tcW w:w="2455" w:type="dxa"/>
          </w:tcPr>
          <w:p w14:paraId="6E513FB9" w14:textId="77777777" w:rsidR="00431FE1" w:rsidRPr="00431FE1" w:rsidRDefault="00431FE1" w:rsidP="00D52E7B">
            <w:pPr>
              <w:jc w:val="center"/>
              <w:rPr>
                <w:sz w:val="24"/>
                <w:szCs w:val="24"/>
              </w:rPr>
            </w:pPr>
            <w:r w:rsidRPr="00431FE1">
              <w:rPr>
                <w:sz w:val="24"/>
                <w:szCs w:val="24"/>
              </w:rPr>
              <w:t>Endring</w:t>
            </w:r>
          </w:p>
        </w:tc>
      </w:tr>
      <w:tr w:rsidR="00431FE1" w:rsidRPr="00431FE1" w14:paraId="6CE1E1E0" w14:textId="77777777" w:rsidTr="00987775">
        <w:tc>
          <w:tcPr>
            <w:tcW w:w="2231" w:type="dxa"/>
          </w:tcPr>
          <w:p w14:paraId="1C46F584" w14:textId="77777777" w:rsidR="00431FE1" w:rsidRPr="00431FE1" w:rsidRDefault="00431FE1" w:rsidP="00D52E7B">
            <w:pPr>
              <w:jc w:val="center"/>
              <w:rPr>
                <w:b/>
                <w:sz w:val="24"/>
                <w:szCs w:val="24"/>
                <w:u w:val="single"/>
                <w:lang w:val="nb-NO"/>
              </w:rPr>
            </w:pPr>
          </w:p>
        </w:tc>
        <w:tc>
          <w:tcPr>
            <w:tcW w:w="2180" w:type="dxa"/>
          </w:tcPr>
          <w:p w14:paraId="69458558" w14:textId="77777777" w:rsidR="00431FE1" w:rsidRPr="00431FE1" w:rsidRDefault="00431FE1" w:rsidP="00D52E7B">
            <w:pPr>
              <w:jc w:val="center"/>
              <w:rPr>
                <w:b/>
                <w:sz w:val="24"/>
                <w:szCs w:val="24"/>
                <w:u w:val="single"/>
                <w:lang w:val="nb-NO"/>
              </w:rPr>
            </w:pPr>
            <w:r w:rsidRPr="00431FE1">
              <w:rPr>
                <w:sz w:val="24"/>
                <w:szCs w:val="24"/>
              </w:rPr>
              <w:t>17.1</w:t>
            </w:r>
          </w:p>
        </w:tc>
        <w:tc>
          <w:tcPr>
            <w:tcW w:w="2456" w:type="dxa"/>
          </w:tcPr>
          <w:p w14:paraId="2B196A3F" w14:textId="77777777" w:rsidR="00431FE1" w:rsidRPr="00431FE1" w:rsidRDefault="00431FE1" w:rsidP="00D52E7B">
            <w:pPr>
              <w:jc w:val="center"/>
              <w:rPr>
                <w:b/>
                <w:sz w:val="24"/>
                <w:szCs w:val="24"/>
                <w:u w:val="single"/>
                <w:lang w:val="nb-NO"/>
              </w:rPr>
            </w:pPr>
            <w:r w:rsidRPr="00431FE1">
              <w:rPr>
                <w:sz w:val="24"/>
                <w:szCs w:val="24"/>
              </w:rPr>
              <w:t>1797-1798</w:t>
            </w:r>
          </w:p>
        </w:tc>
        <w:tc>
          <w:tcPr>
            <w:tcW w:w="2455" w:type="dxa"/>
          </w:tcPr>
          <w:p w14:paraId="090DAE3C" w14:textId="77777777" w:rsidR="00431FE1" w:rsidRPr="00431FE1" w:rsidRDefault="00431FE1" w:rsidP="00D52E7B">
            <w:pPr>
              <w:jc w:val="center"/>
              <w:rPr>
                <w:b/>
                <w:sz w:val="24"/>
                <w:szCs w:val="24"/>
                <w:u w:val="single"/>
                <w:lang w:val="nb-NO"/>
              </w:rPr>
            </w:pPr>
            <w:r w:rsidRPr="00431FE1">
              <w:rPr>
                <w:sz w:val="24"/>
                <w:szCs w:val="24"/>
              </w:rPr>
              <w:t>Strykning</w:t>
            </w:r>
          </w:p>
        </w:tc>
      </w:tr>
      <w:tr w:rsidR="00431FE1" w:rsidRPr="00431FE1" w14:paraId="31C05EF5" w14:textId="77777777" w:rsidTr="00987775">
        <w:tc>
          <w:tcPr>
            <w:tcW w:w="2231" w:type="dxa"/>
          </w:tcPr>
          <w:p w14:paraId="30A3436A" w14:textId="77777777" w:rsidR="00431FE1" w:rsidRPr="00431FE1" w:rsidRDefault="00431FE1" w:rsidP="00D52E7B">
            <w:pPr>
              <w:jc w:val="center"/>
              <w:rPr>
                <w:b/>
                <w:sz w:val="24"/>
                <w:szCs w:val="24"/>
                <w:u w:val="single"/>
                <w:lang w:val="nb-NO"/>
              </w:rPr>
            </w:pPr>
          </w:p>
        </w:tc>
        <w:tc>
          <w:tcPr>
            <w:tcW w:w="2180" w:type="dxa"/>
          </w:tcPr>
          <w:p w14:paraId="025E08DC" w14:textId="77777777" w:rsidR="00431FE1" w:rsidRPr="00431FE1" w:rsidRDefault="00431FE1" w:rsidP="00D52E7B">
            <w:pPr>
              <w:jc w:val="center"/>
              <w:rPr>
                <w:b/>
                <w:sz w:val="24"/>
                <w:szCs w:val="24"/>
                <w:u w:val="single"/>
                <w:lang w:val="nb-NO"/>
              </w:rPr>
            </w:pPr>
            <w:r w:rsidRPr="00431FE1">
              <w:rPr>
                <w:sz w:val="24"/>
                <w:szCs w:val="24"/>
              </w:rPr>
              <w:t>17.1</w:t>
            </w:r>
          </w:p>
        </w:tc>
        <w:tc>
          <w:tcPr>
            <w:tcW w:w="2456" w:type="dxa"/>
          </w:tcPr>
          <w:p w14:paraId="6C86A11B" w14:textId="77777777" w:rsidR="00431FE1" w:rsidRPr="00431FE1" w:rsidRDefault="00431FE1" w:rsidP="00D52E7B">
            <w:pPr>
              <w:jc w:val="center"/>
              <w:rPr>
                <w:b/>
                <w:sz w:val="24"/>
                <w:szCs w:val="24"/>
                <w:u w:val="single"/>
                <w:lang w:val="nb-NO"/>
              </w:rPr>
            </w:pPr>
            <w:r w:rsidRPr="00431FE1">
              <w:rPr>
                <w:sz w:val="24"/>
                <w:szCs w:val="24"/>
              </w:rPr>
              <w:t>N/A</w:t>
            </w:r>
          </w:p>
        </w:tc>
        <w:tc>
          <w:tcPr>
            <w:tcW w:w="2455" w:type="dxa"/>
          </w:tcPr>
          <w:p w14:paraId="03DF8A11" w14:textId="77777777" w:rsidR="00431FE1" w:rsidRPr="00431FE1" w:rsidRDefault="00431FE1" w:rsidP="00D52E7B">
            <w:pPr>
              <w:jc w:val="center"/>
              <w:rPr>
                <w:b/>
                <w:sz w:val="24"/>
                <w:szCs w:val="24"/>
                <w:u w:val="single"/>
                <w:lang w:val="nb-NO"/>
              </w:rPr>
            </w:pPr>
            <w:r w:rsidRPr="00431FE1">
              <w:rPr>
                <w:sz w:val="24"/>
                <w:szCs w:val="24"/>
              </w:rPr>
              <w:t>Nytt punkt</w:t>
            </w:r>
          </w:p>
        </w:tc>
      </w:tr>
      <w:tr w:rsidR="00431FE1" w:rsidRPr="00431FE1" w14:paraId="4C4D980E" w14:textId="77777777" w:rsidTr="00987775">
        <w:tc>
          <w:tcPr>
            <w:tcW w:w="2231" w:type="dxa"/>
          </w:tcPr>
          <w:p w14:paraId="3C0799FF" w14:textId="77777777" w:rsidR="00431FE1" w:rsidRPr="00431FE1" w:rsidRDefault="00431FE1" w:rsidP="00D52E7B">
            <w:pPr>
              <w:jc w:val="center"/>
              <w:rPr>
                <w:b/>
                <w:sz w:val="24"/>
                <w:szCs w:val="24"/>
                <w:u w:val="single"/>
                <w:lang w:val="nb-NO"/>
              </w:rPr>
            </w:pPr>
          </w:p>
        </w:tc>
        <w:tc>
          <w:tcPr>
            <w:tcW w:w="2180" w:type="dxa"/>
          </w:tcPr>
          <w:p w14:paraId="0AAB9FEF" w14:textId="77777777" w:rsidR="00431FE1" w:rsidRPr="00431FE1" w:rsidRDefault="00431FE1" w:rsidP="00D52E7B">
            <w:pPr>
              <w:jc w:val="center"/>
              <w:rPr>
                <w:b/>
                <w:sz w:val="24"/>
                <w:szCs w:val="24"/>
                <w:u w:val="single"/>
                <w:lang w:val="nb-NO"/>
              </w:rPr>
            </w:pPr>
            <w:r w:rsidRPr="00431FE1">
              <w:rPr>
                <w:sz w:val="24"/>
                <w:szCs w:val="24"/>
              </w:rPr>
              <w:t>17.3 a</w:t>
            </w:r>
          </w:p>
        </w:tc>
        <w:tc>
          <w:tcPr>
            <w:tcW w:w="2456" w:type="dxa"/>
          </w:tcPr>
          <w:p w14:paraId="7523548F" w14:textId="77777777" w:rsidR="00431FE1" w:rsidRPr="00431FE1" w:rsidRDefault="00431FE1" w:rsidP="00D52E7B">
            <w:pPr>
              <w:jc w:val="center"/>
              <w:rPr>
                <w:b/>
                <w:sz w:val="24"/>
                <w:szCs w:val="24"/>
                <w:u w:val="single"/>
                <w:lang w:val="nb-NO"/>
              </w:rPr>
            </w:pPr>
            <w:r w:rsidRPr="00431FE1">
              <w:rPr>
                <w:sz w:val="24"/>
                <w:szCs w:val="24"/>
              </w:rPr>
              <w:t>1828-1829</w:t>
            </w:r>
          </w:p>
        </w:tc>
        <w:tc>
          <w:tcPr>
            <w:tcW w:w="2455" w:type="dxa"/>
          </w:tcPr>
          <w:p w14:paraId="676FEFC0" w14:textId="77777777" w:rsidR="00431FE1" w:rsidRPr="00431FE1" w:rsidRDefault="00431FE1" w:rsidP="00D52E7B">
            <w:pPr>
              <w:jc w:val="center"/>
              <w:rPr>
                <w:b/>
                <w:sz w:val="24"/>
                <w:szCs w:val="24"/>
                <w:u w:val="single"/>
                <w:lang w:val="nb-NO"/>
              </w:rPr>
            </w:pPr>
            <w:r w:rsidRPr="00431FE1">
              <w:rPr>
                <w:sz w:val="24"/>
                <w:szCs w:val="24"/>
              </w:rPr>
              <w:t>Strykning</w:t>
            </w:r>
          </w:p>
        </w:tc>
      </w:tr>
      <w:tr w:rsidR="00431FE1" w:rsidRPr="00431FE1" w14:paraId="02929C06" w14:textId="77777777" w:rsidTr="00987775">
        <w:tc>
          <w:tcPr>
            <w:tcW w:w="2231" w:type="dxa"/>
          </w:tcPr>
          <w:p w14:paraId="57CF1BDD" w14:textId="77777777" w:rsidR="00431FE1" w:rsidRPr="00431FE1" w:rsidRDefault="00431FE1" w:rsidP="00D52E7B">
            <w:pPr>
              <w:jc w:val="center"/>
              <w:rPr>
                <w:b/>
                <w:sz w:val="24"/>
                <w:szCs w:val="24"/>
                <w:u w:val="single"/>
                <w:lang w:val="nb-NO"/>
              </w:rPr>
            </w:pPr>
          </w:p>
        </w:tc>
        <w:tc>
          <w:tcPr>
            <w:tcW w:w="2180" w:type="dxa"/>
          </w:tcPr>
          <w:p w14:paraId="3F6CD1C4" w14:textId="77777777" w:rsidR="00431FE1" w:rsidRPr="00431FE1" w:rsidRDefault="00431FE1" w:rsidP="00D52E7B">
            <w:pPr>
              <w:jc w:val="center"/>
              <w:rPr>
                <w:b/>
                <w:sz w:val="24"/>
                <w:szCs w:val="24"/>
                <w:u w:val="single"/>
                <w:lang w:val="nb-NO"/>
              </w:rPr>
            </w:pPr>
            <w:r w:rsidRPr="00431FE1">
              <w:rPr>
                <w:sz w:val="24"/>
                <w:szCs w:val="24"/>
              </w:rPr>
              <w:t>17.3</w:t>
            </w:r>
          </w:p>
        </w:tc>
        <w:tc>
          <w:tcPr>
            <w:tcW w:w="2456" w:type="dxa"/>
          </w:tcPr>
          <w:p w14:paraId="4CB815EF" w14:textId="77777777" w:rsidR="00431FE1" w:rsidRPr="00431FE1" w:rsidRDefault="00431FE1" w:rsidP="00D52E7B">
            <w:pPr>
              <w:jc w:val="center"/>
              <w:rPr>
                <w:b/>
                <w:sz w:val="24"/>
                <w:szCs w:val="24"/>
                <w:u w:val="single"/>
                <w:lang w:val="nb-NO"/>
              </w:rPr>
            </w:pPr>
            <w:r w:rsidRPr="00431FE1">
              <w:rPr>
                <w:sz w:val="24"/>
                <w:szCs w:val="24"/>
              </w:rPr>
              <w:t>N/A</w:t>
            </w:r>
          </w:p>
        </w:tc>
        <w:tc>
          <w:tcPr>
            <w:tcW w:w="2455" w:type="dxa"/>
          </w:tcPr>
          <w:p w14:paraId="4D2E4179" w14:textId="77777777" w:rsidR="00431FE1" w:rsidRPr="00431FE1" w:rsidRDefault="00431FE1" w:rsidP="00D52E7B">
            <w:pPr>
              <w:jc w:val="center"/>
              <w:rPr>
                <w:b/>
                <w:sz w:val="24"/>
                <w:szCs w:val="24"/>
                <w:u w:val="single"/>
                <w:lang w:val="nb-NO"/>
              </w:rPr>
            </w:pPr>
            <w:r w:rsidRPr="00431FE1">
              <w:rPr>
                <w:sz w:val="24"/>
                <w:szCs w:val="24"/>
              </w:rPr>
              <w:t>Nytt punkt</w:t>
            </w:r>
          </w:p>
        </w:tc>
      </w:tr>
      <w:tr w:rsidR="00431FE1" w:rsidRPr="00431FE1" w14:paraId="758F7359" w14:textId="77777777" w:rsidTr="00987775">
        <w:tc>
          <w:tcPr>
            <w:tcW w:w="2231" w:type="dxa"/>
          </w:tcPr>
          <w:p w14:paraId="4D783638" w14:textId="77777777" w:rsidR="00431FE1" w:rsidRPr="00431FE1" w:rsidRDefault="00431FE1" w:rsidP="00D52E7B">
            <w:pPr>
              <w:jc w:val="center"/>
              <w:rPr>
                <w:b/>
                <w:sz w:val="24"/>
                <w:szCs w:val="24"/>
                <w:u w:val="single"/>
                <w:lang w:val="nb-NO"/>
              </w:rPr>
            </w:pPr>
          </w:p>
        </w:tc>
        <w:tc>
          <w:tcPr>
            <w:tcW w:w="2180" w:type="dxa"/>
          </w:tcPr>
          <w:p w14:paraId="17C4EA59" w14:textId="77777777" w:rsidR="00431FE1" w:rsidRPr="00431FE1" w:rsidRDefault="00431FE1" w:rsidP="00D52E7B">
            <w:pPr>
              <w:jc w:val="center"/>
              <w:rPr>
                <w:b/>
                <w:sz w:val="24"/>
                <w:szCs w:val="24"/>
                <w:u w:val="single"/>
                <w:lang w:val="nb-NO"/>
              </w:rPr>
            </w:pPr>
          </w:p>
        </w:tc>
        <w:tc>
          <w:tcPr>
            <w:tcW w:w="2456" w:type="dxa"/>
          </w:tcPr>
          <w:p w14:paraId="785F274E" w14:textId="77777777" w:rsidR="00431FE1" w:rsidRPr="00431FE1" w:rsidRDefault="00431FE1" w:rsidP="00D52E7B">
            <w:pPr>
              <w:jc w:val="center"/>
              <w:rPr>
                <w:b/>
                <w:sz w:val="24"/>
                <w:szCs w:val="24"/>
                <w:u w:val="single"/>
                <w:lang w:val="nb-NO"/>
              </w:rPr>
            </w:pPr>
          </w:p>
        </w:tc>
        <w:tc>
          <w:tcPr>
            <w:tcW w:w="2455" w:type="dxa"/>
          </w:tcPr>
          <w:p w14:paraId="7573C668" w14:textId="77777777" w:rsidR="00431FE1" w:rsidRPr="00431FE1" w:rsidRDefault="00431FE1" w:rsidP="00D52E7B">
            <w:pPr>
              <w:jc w:val="center"/>
              <w:rPr>
                <w:b/>
                <w:sz w:val="24"/>
                <w:szCs w:val="24"/>
                <w:u w:val="single"/>
                <w:lang w:val="nb-NO"/>
              </w:rPr>
            </w:pPr>
          </w:p>
        </w:tc>
      </w:tr>
    </w:tbl>
    <w:p w14:paraId="1B490902" w14:textId="77777777" w:rsidR="00431FE1" w:rsidRPr="00431FE1" w:rsidRDefault="00431FE1" w:rsidP="00431FE1">
      <w:pPr>
        <w:pBdr>
          <w:top w:val="nil"/>
          <w:left w:val="nil"/>
          <w:bottom w:val="nil"/>
          <w:right w:val="nil"/>
          <w:between w:val="nil"/>
        </w:pBdr>
        <w:spacing w:line="240" w:lineRule="auto"/>
        <w:rPr>
          <w:b/>
          <w:sz w:val="32"/>
          <w:szCs w:val="32"/>
          <w:u w:val="single"/>
        </w:rPr>
      </w:pPr>
    </w:p>
    <w:p w14:paraId="5BEB45F3" w14:textId="77777777" w:rsidR="00431FE1" w:rsidRDefault="00431FE1" w:rsidP="00431FE1">
      <w:pPr>
        <w:spacing w:line="240" w:lineRule="auto"/>
        <w:rPr>
          <w:sz w:val="24"/>
          <w:szCs w:val="24"/>
        </w:rPr>
      </w:pPr>
    </w:p>
    <w:p w14:paraId="428F3D26" w14:textId="77777777" w:rsidR="00D52E7B" w:rsidRDefault="00D52E7B" w:rsidP="00431FE1">
      <w:pPr>
        <w:spacing w:line="240" w:lineRule="auto"/>
        <w:rPr>
          <w:sz w:val="24"/>
          <w:szCs w:val="24"/>
        </w:rPr>
      </w:pPr>
    </w:p>
    <w:p w14:paraId="0C29C0EF" w14:textId="77777777" w:rsidR="00D52E7B" w:rsidRDefault="00D52E7B" w:rsidP="00431FE1">
      <w:pPr>
        <w:spacing w:line="240" w:lineRule="auto"/>
        <w:rPr>
          <w:sz w:val="24"/>
          <w:szCs w:val="24"/>
        </w:rPr>
      </w:pPr>
    </w:p>
    <w:p w14:paraId="6BE76C44" w14:textId="77777777" w:rsidR="004D555C" w:rsidRPr="00431FE1" w:rsidRDefault="004D555C" w:rsidP="00431FE1">
      <w:pPr>
        <w:spacing w:line="240" w:lineRule="auto"/>
        <w:rPr>
          <w:sz w:val="24"/>
          <w:szCs w:val="24"/>
        </w:rPr>
      </w:pPr>
    </w:p>
    <w:p w14:paraId="2831699C" w14:textId="77777777" w:rsidR="00431FE1" w:rsidRPr="00431FE1" w:rsidRDefault="00431FE1" w:rsidP="00431FE1">
      <w:pPr>
        <w:spacing w:line="240" w:lineRule="auto"/>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353"/>
        <w:gridCol w:w="4992"/>
      </w:tblGrid>
      <w:tr w:rsidR="00431FE1" w:rsidRPr="00431FE1" w14:paraId="0426DC13" w14:textId="77777777" w:rsidTr="00D52E7B">
        <w:trPr>
          <w:trHeight w:val="767"/>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D57B9" w14:textId="77777777" w:rsidR="00431FE1" w:rsidRPr="00431FE1" w:rsidRDefault="00431FE1" w:rsidP="00987775">
            <w:pPr>
              <w:spacing w:line="240" w:lineRule="auto"/>
              <w:rPr>
                <w:sz w:val="24"/>
                <w:szCs w:val="24"/>
              </w:rPr>
            </w:pPr>
            <w:r w:rsidRPr="00431FE1">
              <w:rPr>
                <w:b/>
                <w:sz w:val="24"/>
                <w:szCs w:val="24"/>
              </w:rPr>
              <w:t xml:space="preserve">Type forslag: </w:t>
            </w:r>
            <w:r w:rsidRPr="00431FE1">
              <w:rPr>
                <w:sz w:val="24"/>
                <w:szCs w:val="24"/>
              </w:rPr>
              <w:t>Endring</w:t>
            </w:r>
          </w:p>
        </w:tc>
        <w:tc>
          <w:tcPr>
            <w:tcW w:w="4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0B03B6" w14:textId="77777777" w:rsidR="004D555C" w:rsidRPr="004937FA" w:rsidRDefault="004D555C" w:rsidP="004D555C">
            <w:pPr>
              <w:spacing w:line="240" w:lineRule="auto"/>
              <w:rPr>
                <w:b/>
                <w:sz w:val="24"/>
                <w:szCs w:val="24"/>
                <w:lang w:val="nb-NO"/>
              </w:rPr>
            </w:pPr>
            <w:r w:rsidRPr="004937FA">
              <w:rPr>
                <w:b/>
                <w:sz w:val="24"/>
                <w:szCs w:val="24"/>
                <w:lang w:val="nb-NO"/>
              </w:rPr>
              <w:t xml:space="preserve">Forslagsstiller: Hjalmar Kolsaker </w:t>
            </w:r>
          </w:p>
          <w:p w14:paraId="3C9A3D1A" w14:textId="77777777" w:rsidR="00431FE1" w:rsidRPr="00431FE1" w:rsidRDefault="004D555C" w:rsidP="004D555C">
            <w:pPr>
              <w:spacing w:line="240" w:lineRule="auto"/>
              <w:rPr>
                <w:sz w:val="24"/>
                <w:szCs w:val="24"/>
                <w:lang w:val="nb-NO"/>
              </w:rPr>
            </w:pPr>
            <w:r w:rsidRPr="001F1060">
              <w:rPr>
                <w:sz w:val="24"/>
                <w:szCs w:val="24"/>
                <w:lang w:val="nb-NO"/>
              </w:rPr>
              <w:t>/ Rødt Oslos miljø- og samferdselsutvalg</w:t>
            </w:r>
          </w:p>
        </w:tc>
      </w:tr>
      <w:tr w:rsidR="00431FE1" w:rsidRPr="00431FE1" w14:paraId="16FCBBFA" w14:textId="77777777" w:rsidTr="004D555C">
        <w:trPr>
          <w:trHeight w:val="555"/>
        </w:trPr>
        <w:tc>
          <w:tcPr>
            <w:tcW w:w="43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D57F45" w14:textId="77777777" w:rsidR="00431FE1" w:rsidRPr="00431FE1" w:rsidRDefault="00431FE1" w:rsidP="00987775">
            <w:pPr>
              <w:spacing w:line="240" w:lineRule="auto"/>
              <w:rPr>
                <w:sz w:val="24"/>
                <w:szCs w:val="24"/>
              </w:rPr>
            </w:pPr>
            <w:r w:rsidRPr="00431FE1">
              <w:rPr>
                <w:b/>
                <w:sz w:val="24"/>
                <w:szCs w:val="24"/>
              </w:rPr>
              <w:t xml:space="preserve">Kapittel: </w:t>
            </w:r>
            <w:r w:rsidRPr="00431FE1">
              <w:rPr>
                <w:sz w:val="24"/>
                <w:szCs w:val="24"/>
              </w:rPr>
              <w:t>17</w:t>
            </w:r>
          </w:p>
        </w:tc>
        <w:tc>
          <w:tcPr>
            <w:tcW w:w="4992" w:type="dxa"/>
            <w:tcBorders>
              <w:bottom w:val="single" w:sz="8" w:space="0" w:color="000000"/>
              <w:right w:val="single" w:sz="8" w:space="0" w:color="000000"/>
            </w:tcBorders>
            <w:tcMar>
              <w:top w:w="100" w:type="dxa"/>
              <w:left w:w="100" w:type="dxa"/>
              <w:bottom w:w="100" w:type="dxa"/>
              <w:right w:w="100" w:type="dxa"/>
            </w:tcMar>
          </w:tcPr>
          <w:p w14:paraId="56806703" w14:textId="44AD2C74" w:rsidR="00431FE1" w:rsidRPr="00431FE1" w:rsidRDefault="00431FE1" w:rsidP="00987775">
            <w:pPr>
              <w:spacing w:line="240" w:lineRule="auto"/>
              <w:rPr>
                <w:sz w:val="24"/>
                <w:szCs w:val="24"/>
              </w:rPr>
            </w:pPr>
            <w:r w:rsidRPr="00431FE1">
              <w:rPr>
                <w:b/>
                <w:sz w:val="24"/>
                <w:szCs w:val="24"/>
              </w:rPr>
              <w:t xml:space="preserve">Punkt: </w:t>
            </w:r>
            <w:r w:rsidRPr="00431FE1">
              <w:rPr>
                <w:sz w:val="24"/>
                <w:szCs w:val="24"/>
              </w:rPr>
              <w:t>17.1</w:t>
            </w:r>
            <w:r w:rsidR="00D52E7B">
              <w:rPr>
                <w:sz w:val="24"/>
                <w:szCs w:val="24"/>
              </w:rPr>
              <w:t xml:space="preserve"> </w:t>
            </w:r>
            <w:r w:rsidR="00D52E7B">
              <w:rPr>
                <w:rFonts w:ascii="Helvetica" w:eastAsiaTheme="minorEastAsia" w:hAnsi="Helvetica" w:cs="Helvetica"/>
                <w:b/>
                <w:bCs/>
                <w:sz w:val="24"/>
                <w:szCs w:val="24"/>
                <w:lang w:val="en-US" w:eastAsia="nb-NO"/>
              </w:rPr>
              <w:t>Veien ut av oljealderen </w:t>
            </w:r>
          </w:p>
        </w:tc>
      </w:tr>
      <w:tr w:rsidR="00431FE1" w:rsidRPr="00431FE1" w14:paraId="2C11AE46" w14:textId="77777777" w:rsidTr="004D555C">
        <w:trPr>
          <w:trHeight w:val="555"/>
        </w:trPr>
        <w:tc>
          <w:tcPr>
            <w:tcW w:w="43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43025" w14:textId="77777777" w:rsidR="00431FE1" w:rsidRPr="00431FE1" w:rsidRDefault="00431FE1" w:rsidP="00987775">
            <w:pPr>
              <w:spacing w:line="240" w:lineRule="auto"/>
              <w:rPr>
                <w:sz w:val="24"/>
                <w:szCs w:val="24"/>
              </w:rPr>
            </w:pPr>
            <w:r w:rsidRPr="00431FE1">
              <w:rPr>
                <w:b/>
                <w:sz w:val="24"/>
                <w:szCs w:val="24"/>
              </w:rPr>
              <w:t xml:space="preserve">Linjenummer: </w:t>
            </w:r>
            <w:r w:rsidRPr="00431FE1">
              <w:rPr>
                <w:sz w:val="24"/>
                <w:szCs w:val="24"/>
              </w:rPr>
              <w:t>1792</w:t>
            </w:r>
          </w:p>
        </w:tc>
        <w:tc>
          <w:tcPr>
            <w:tcW w:w="4992" w:type="dxa"/>
            <w:tcBorders>
              <w:bottom w:val="single" w:sz="8" w:space="0" w:color="000000"/>
              <w:right w:val="single" w:sz="8" w:space="0" w:color="000000"/>
            </w:tcBorders>
            <w:tcMar>
              <w:top w:w="100" w:type="dxa"/>
              <w:left w:w="100" w:type="dxa"/>
              <w:bottom w:w="100" w:type="dxa"/>
              <w:right w:w="100" w:type="dxa"/>
            </w:tcMar>
          </w:tcPr>
          <w:p w14:paraId="197802D7" w14:textId="77777777" w:rsidR="00431FE1" w:rsidRPr="00431FE1" w:rsidRDefault="00431FE1" w:rsidP="00987775">
            <w:pPr>
              <w:spacing w:line="240" w:lineRule="auto"/>
              <w:rPr>
                <w:sz w:val="24"/>
                <w:szCs w:val="24"/>
              </w:rPr>
            </w:pPr>
          </w:p>
        </w:tc>
      </w:tr>
      <w:tr w:rsidR="00431FE1" w:rsidRPr="00431FE1" w14:paraId="62018B2D" w14:textId="77777777" w:rsidTr="00987775">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D5787CD" w14:textId="77777777" w:rsidR="00431FE1" w:rsidRPr="00431FE1" w:rsidRDefault="00431FE1" w:rsidP="00987775">
            <w:pPr>
              <w:spacing w:line="240" w:lineRule="auto"/>
              <w:rPr>
                <w:sz w:val="24"/>
                <w:szCs w:val="24"/>
                <w:lang w:val="nb-NO"/>
              </w:rPr>
            </w:pPr>
            <w:r w:rsidRPr="00431FE1">
              <w:rPr>
                <w:b/>
                <w:sz w:val="24"/>
                <w:szCs w:val="24"/>
                <w:lang w:val="nb-NO"/>
              </w:rPr>
              <w:t xml:space="preserve">Opprinnelig punkt: </w:t>
            </w:r>
            <w:r w:rsidRPr="00431FE1">
              <w:rPr>
                <w:sz w:val="24"/>
                <w:szCs w:val="24"/>
                <w:lang w:val="nb-NO"/>
              </w:rPr>
              <w:t>Det er dagens oljearbeidere som skal bygge morgendagens klimaløsninger.</w:t>
            </w:r>
          </w:p>
        </w:tc>
      </w:tr>
      <w:tr w:rsidR="00431FE1" w:rsidRPr="00431FE1" w14:paraId="2A5D0726"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53707" w14:textId="77777777" w:rsidR="00431FE1" w:rsidRPr="00431FE1" w:rsidRDefault="00431FE1" w:rsidP="00987775">
            <w:pPr>
              <w:spacing w:line="240" w:lineRule="auto"/>
              <w:rPr>
                <w:sz w:val="24"/>
                <w:szCs w:val="24"/>
                <w:lang w:val="nb-NO"/>
              </w:rPr>
            </w:pPr>
            <w:r w:rsidRPr="00431FE1">
              <w:rPr>
                <w:b/>
                <w:sz w:val="24"/>
                <w:szCs w:val="24"/>
                <w:lang w:val="nb-NO"/>
              </w:rPr>
              <w:t>Nytt punkt:</w:t>
            </w:r>
            <w:r w:rsidRPr="00431FE1">
              <w:rPr>
                <w:sz w:val="24"/>
                <w:szCs w:val="24"/>
                <w:lang w:val="nb-NO"/>
              </w:rPr>
              <w:t xml:space="preserve"> Dagens oljearbeidere skal være med å bygge morgendagens klimaløsninger.</w:t>
            </w:r>
          </w:p>
        </w:tc>
      </w:tr>
      <w:tr w:rsidR="00431FE1" w:rsidRPr="00431FE1" w14:paraId="025C829A"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7FD2B" w14:textId="77777777" w:rsidR="00431FE1" w:rsidRDefault="00431FE1" w:rsidP="00987775">
            <w:pPr>
              <w:spacing w:line="240" w:lineRule="auto"/>
              <w:rPr>
                <w:sz w:val="24"/>
                <w:szCs w:val="24"/>
              </w:rPr>
            </w:pPr>
            <w:r w:rsidRPr="00431FE1">
              <w:rPr>
                <w:b/>
                <w:sz w:val="24"/>
                <w:szCs w:val="24"/>
                <w:lang w:val="nb-NO"/>
              </w:rPr>
              <w:t xml:space="preserve">Begrunnelse: </w:t>
            </w:r>
            <w:r w:rsidRPr="00431FE1">
              <w:rPr>
                <w:sz w:val="24"/>
                <w:szCs w:val="24"/>
                <w:lang w:val="nb-NO"/>
              </w:rPr>
              <w:t xml:space="preserve">Vi ønsker å moderere denne fordi det på mange måter er en ubegrunnet og ukorrekt påstand. Hvilken dekning er det for å si dette? Hva med alle oss andre? Hva med de som ikke har valgt utdanningsretning ennå, og ikke først skal være oljearbeidere og så bli noe annet? </w:t>
            </w:r>
            <w:r w:rsidRPr="00431FE1">
              <w:rPr>
                <w:sz w:val="24"/>
                <w:szCs w:val="24"/>
              </w:rPr>
              <w:t xml:space="preserve">Derfor ber vi om at denne modereres. </w:t>
            </w:r>
          </w:p>
          <w:p w14:paraId="57E83595" w14:textId="77777777" w:rsidR="004D555C" w:rsidRPr="00431FE1" w:rsidRDefault="004D555C" w:rsidP="00987775">
            <w:pPr>
              <w:spacing w:line="240" w:lineRule="auto"/>
              <w:rPr>
                <w:sz w:val="24"/>
                <w:szCs w:val="24"/>
              </w:rPr>
            </w:pPr>
          </w:p>
        </w:tc>
      </w:tr>
    </w:tbl>
    <w:p w14:paraId="320B0FE2" w14:textId="77777777" w:rsidR="00431FE1" w:rsidRPr="00431FE1" w:rsidRDefault="00431FE1" w:rsidP="00431FE1">
      <w:pPr>
        <w:spacing w:line="240" w:lineRule="auto"/>
        <w:rPr>
          <w:sz w:val="24"/>
          <w:szCs w:val="24"/>
        </w:rPr>
      </w:pPr>
    </w:p>
    <w:p w14:paraId="6D6D24F2" w14:textId="77777777" w:rsidR="00431FE1" w:rsidRPr="00431FE1" w:rsidRDefault="00431FE1" w:rsidP="00431FE1">
      <w:pPr>
        <w:rPr>
          <w:sz w:val="24"/>
          <w:szCs w:val="24"/>
        </w:rPr>
      </w:pPr>
    </w:p>
    <w:p w14:paraId="0F2F5293" w14:textId="77777777" w:rsidR="004D555C" w:rsidRDefault="004D555C">
      <w:pPr>
        <w:spacing w:line="240" w:lineRule="auto"/>
        <w:rPr>
          <w:sz w:val="24"/>
          <w:szCs w:val="24"/>
        </w:rPr>
      </w:pPr>
      <w:r>
        <w:rPr>
          <w:sz w:val="24"/>
          <w:szCs w:val="24"/>
        </w:rPr>
        <w:br w:type="page"/>
      </w:r>
    </w:p>
    <w:p w14:paraId="257F9238" w14:textId="77777777" w:rsidR="00431FE1" w:rsidRPr="00431FE1" w:rsidRDefault="00431FE1" w:rsidP="00431FE1">
      <w:pPr>
        <w:spacing w:line="240" w:lineRule="auto"/>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353"/>
        <w:gridCol w:w="4992"/>
      </w:tblGrid>
      <w:tr w:rsidR="00431FE1" w:rsidRPr="00431FE1" w14:paraId="4C5C1112" w14:textId="77777777" w:rsidTr="004D555C">
        <w:trPr>
          <w:trHeight w:val="540"/>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92664" w14:textId="77777777" w:rsidR="00431FE1" w:rsidRPr="00431FE1" w:rsidRDefault="00431FE1" w:rsidP="00987775">
            <w:pPr>
              <w:spacing w:line="240" w:lineRule="auto"/>
              <w:rPr>
                <w:sz w:val="24"/>
                <w:szCs w:val="24"/>
              </w:rPr>
            </w:pPr>
            <w:r w:rsidRPr="00431FE1">
              <w:rPr>
                <w:b/>
                <w:sz w:val="24"/>
                <w:szCs w:val="24"/>
              </w:rPr>
              <w:t xml:space="preserve">Type forslag: </w:t>
            </w:r>
            <w:r w:rsidRPr="00431FE1">
              <w:rPr>
                <w:sz w:val="24"/>
                <w:szCs w:val="24"/>
              </w:rPr>
              <w:t>Strykning</w:t>
            </w:r>
          </w:p>
        </w:tc>
        <w:tc>
          <w:tcPr>
            <w:tcW w:w="49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E29F13" w14:textId="77777777" w:rsidR="004D555C" w:rsidRPr="004937FA" w:rsidRDefault="004D555C" w:rsidP="004D555C">
            <w:pPr>
              <w:spacing w:line="240" w:lineRule="auto"/>
              <w:rPr>
                <w:b/>
                <w:sz w:val="24"/>
                <w:szCs w:val="24"/>
                <w:lang w:val="nb-NO"/>
              </w:rPr>
            </w:pPr>
            <w:r w:rsidRPr="004937FA">
              <w:rPr>
                <w:b/>
                <w:sz w:val="24"/>
                <w:szCs w:val="24"/>
                <w:lang w:val="nb-NO"/>
              </w:rPr>
              <w:t xml:space="preserve">Forslagsstiller: Hjalmar Kolsaker </w:t>
            </w:r>
          </w:p>
          <w:p w14:paraId="0DFD6017" w14:textId="77777777" w:rsidR="00431FE1" w:rsidRPr="00431FE1" w:rsidRDefault="004D555C" w:rsidP="004D555C">
            <w:pPr>
              <w:spacing w:line="240" w:lineRule="auto"/>
              <w:rPr>
                <w:sz w:val="24"/>
                <w:szCs w:val="24"/>
                <w:lang w:val="nb-NO"/>
              </w:rPr>
            </w:pPr>
            <w:r w:rsidRPr="001F1060">
              <w:rPr>
                <w:sz w:val="24"/>
                <w:szCs w:val="24"/>
                <w:lang w:val="nb-NO"/>
              </w:rPr>
              <w:t>/ Rødt Oslos miljø- og samferdselsutvalg</w:t>
            </w:r>
          </w:p>
        </w:tc>
      </w:tr>
      <w:tr w:rsidR="00431FE1" w:rsidRPr="00431FE1" w14:paraId="71CDBF2D" w14:textId="77777777" w:rsidTr="004D555C">
        <w:trPr>
          <w:trHeight w:val="555"/>
        </w:trPr>
        <w:tc>
          <w:tcPr>
            <w:tcW w:w="43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07BAA8" w14:textId="77777777" w:rsidR="00431FE1" w:rsidRPr="00431FE1" w:rsidRDefault="00431FE1" w:rsidP="00987775">
            <w:pPr>
              <w:spacing w:line="240" w:lineRule="auto"/>
              <w:rPr>
                <w:sz w:val="24"/>
                <w:szCs w:val="24"/>
              </w:rPr>
            </w:pPr>
            <w:r w:rsidRPr="00431FE1">
              <w:rPr>
                <w:b/>
                <w:sz w:val="24"/>
                <w:szCs w:val="24"/>
              </w:rPr>
              <w:t xml:space="preserve">Kapittel: </w:t>
            </w:r>
            <w:r w:rsidRPr="00431FE1">
              <w:rPr>
                <w:sz w:val="24"/>
                <w:szCs w:val="24"/>
              </w:rPr>
              <w:t>17</w:t>
            </w:r>
          </w:p>
        </w:tc>
        <w:tc>
          <w:tcPr>
            <w:tcW w:w="4992" w:type="dxa"/>
            <w:tcBorders>
              <w:bottom w:val="single" w:sz="8" w:space="0" w:color="000000"/>
              <w:right w:val="single" w:sz="8" w:space="0" w:color="000000"/>
            </w:tcBorders>
            <w:tcMar>
              <w:top w:w="100" w:type="dxa"/>
              <w:left w:w="100" w:type="dxa"/>
              <w:bottom w:w="100" w:type="dxa"/>
              <w:right w:w="100" w:type="dxa"/>
            </w:tcMar>
          </w:tcPr>
          <w:p w14:paraId="5A906DB6" w14:textId="5C43C9DA" w:rsidR="00431FE1" w:rsidRPr="00431FE1" w:rsidRDefault="00431FE1" w:rsidP="00987775">
            <w:pPr>
              <w:spacing w:line="240" w:lineRule="auto"/>
              <w:rPr>
                <w:sz w:val="24"/>
                <w:szCs w:val="24"/>
              </w:rPr>
            </w:pPr>
            <w:r w:rsidRPr="00431FE1">
              <w:rPr>
                <w:b/>
                <w:sz w:val="24"/>
                <w:szCs w:val="24"/>
              </w:rPr>
              <w:t xml:space="preserve">Punkt: </w:t>
            </w:r>
            <w:r w:rsidRPr="00431FE1">
              <w:rPr>
                <w:sz w:val="24"/>
                <w:szCs w:val="24"/>
              </w:rPr>
              <w:t>17.1</w:t>
            </w:r>
            <w:r w:rsidR="00D52E7B">
              <w:rPr>
                <w:sz w:val="24"/>
                <w:szCs w:val="24"/>
              </w:rPr>
              <w:t xml:space="preserve"> </w:t>
            </w:r>
            <w:r w:rsidR="00D52E7B">
              <w:rPr>
                <w:rFonts w:ascii="Helvetica" w:eastAsiaTheme="minorEastAsia" w:hAnsi="Helvetica" w:cs="Helvetica"/>
                <w:b/>
                <w:bCs/>
                <w:sz w:val="24"/>
                <w:szCs w:val="24"/>
                <w:lang w:val="en-US" w:eastAsia="nb-NO"/>
              </w:rPr>
              <w:t>Veien ut av oljealderen </w:t>
            </w:r>
          </w:p>
        </w:tc>
      </w:tr>
      <w:tr w:rsidR="00431FE1" w:rsidRPr="00431FE1" w14:paraId="05CF3DBA" w14:textId="77777777" w:rsidTr="004D555C">
        <w:trPr>
          <w:trHeight w:val="555"/>
        </w:trPr>
        <w:tc>
          <w:tcPr>
            <w:tcW w:w="435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2C0CF1" w14:textId="77777777" w:rsidR="00431FE1" w:rsidRPr="00431FE1" w:rsidRDefault="00431FE1" w:rsidP="00987775">
            <w:pPr>
              <w:spacing w:line="240" w:lineRule="auto"/>
              <w:rPr>
                <w:sz w:val="24"/>
                <w:szCs w:val="24"/>
              </w:rPr>
            </w:pPr>
            <w:r w:rsidRPr="00431FE1">
              <w:rPr>
                <w:b/>
                <w:sz w:val="24"/>
                <w:szCs w:val="24"/>
              </w:rPr>
              <w:t xml:space="preserve">Linjenummer: </w:t>
            </w:r>
            <w:r w:rsidRPr="00431FE1">
              <w:rPr>
                <w:sz w:val="24"/>
                <w:szCs w:val="24"/>
              </w:rPr>
              <w:t>1797-1798</w:t>
            </w:r>
          </w:p>
        </w:tc>
        <w:tc>
          <w:tcPr>
            <w:tcW w:w="4992" w:type="dxa"/>
            <w:tcBorders>
              <w:bottom w:val="single" w:sz="8" w:space="0" w:color="000000"/>
              <w:right w:val="single" w:sz="8" w:space="0" w:color="000000"/>
            </w:tcBorders>
            <w:tcMar>
              <w:top w:w="100" w:type="dxa"/>
              <w:left w:w="100" w:type="dxa"/>
              <w:bottom w:w="100" w:type="dxa"/>
              <w:right w:w="100" w:type="dxa"/>
            </w:tcMar>
          </w:tcPr>
          <w:p w14:paraId="1DF97376" w14:textId="77777777" w:rsidR="00431FE1" w:rsidRPr="00431FE1" w:rsidRDefault="00431FE1" w:rsidP="00987775">
            <w:pPr>
              <w:spacing w:line="240" w:lineRule="auto"/>
              <w:rPr>
                <w:sz w:val="24"/>
                <w:szCs w:val="24"/>
              </w:rPr>
            </w:pPr>
          </w:p>
        </w:tc>
      </w:tr>
      <w:tr w:rsidR="00431FE1" w:rsidRPr="00431FE1" w14:paraId="127A7D3B" w14:textId="77777777" w:rsidTr="00987775">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A7FC376" w14:textId="77777777" w:rsidR="00431FE1" w:rsidRPr="00431FE1" w:rsidRDefault="00431FE1" w:rsidP="00987775">
            <w:pPr>
              <w:spacing w:line="240" w:lineRule="auto"/>
              <w:rPr>
                <w:b/>
                <w:sz w:val="24"/>
                <w:szCs w:val="24"/>
                <w:lang w:val="nb-NO"/>
              </w:rPr>
            </w:pPr>
            <w:r w:rsidRPr="00431FE1">
              <w:rPr>
                <w:b/>
                <w:sz w:val="24"/>
                <w:szCs w:val="24"/>
                <w:lang w:val="nb-NO"/>
              </w:rPr>
              <w:t xml:space="preserve">Opprinnelig punkt: </w:t>
            </w:r>
            <w:r w:rsidRPr="00431FE1">
              <w:rPr>
                <w:sz w:val="24"/>
                <w:szCs w:val="24"/>
                <w:lang w:val="nb-NO"/>
              </w:rPr>
              <w:t>På kort sikt behøves et omfattende investeringsprogram for leverandørindustrien, som er den avgjørende nøkkelen for å bevare arbeidsplasser langs kysten.</w:t>
            </w:r>
          </w:p>
        </w:tc>
      </w:tr>
      <w:tr w:rsidR="00431FE1" w:rsidRPr="00431FE1" w14:paraId="59FF2BC7"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3018D" w14:textId="77777777" w:rsidR="00431FE1" w:rsidRPr="00431FE1" w:rsidRDefault="00431FE1" w:rsidP="00987775">
            <w:pPr>
              <w:spacing w:line="240" w:lineRule="auto"/>
              <w:rPr>
                <w:sz w:val="24"/>
                <w:szCs w:val="24"/>
              </w:rPr>
            </w:pPr>
            <w:r w:rsidRPr="00431FE1">
              <w:rPr>
                <w:b/>
                <w:sz w:val="24"/>
                <w:szCs w:val="24"/>
              </w:rPr>
              <w:t>Nytt punkt:</w:t>
            </w:r>
            <w:r w:rsidRPr="00431FE1">
              <w:rPr>
                <w:sz w:val="24"/>
                <w:szCs w:val="24"/>
              </w:rPr>
              <w:t xml:space="preserve"> N/A</w:t>
            </w:r>
          </w:p>
        </w:tc>
      </w:tr>
      <w:tr w:rsidR="00431FE1" w:rsidRPr="00431FE1" w14:paraId="72B61A70" w14:textId="77777777" w:rsidTr="00987775">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F5BEB" w14:textId="77777777" w:rsidR="00431FE1" w:rsidRPr="00431FE1" w:rsidRDefault="00431FE1" w:rsidP="00987775">
            <w:pPr>
              <w:spacing w:line="240" w:lineRule="auto"/>
              <w:rPr>
                <w:sz w:val="24"/>
                <w:szCs w:val="24"/>
                <w:lang w:val="nb-NO"/>
              </w:rPr>
            </w:pPr>
            <w:r w:rsidRPr="00431FE1">
              <w:rPr>
                <w:b/>
                <w:sz w:val="24"/>
                <w:szCs w:val="24"/>
                <w:lang w:val="nb-NO"/>
              </w:rPr>
              <w:t xml:space="preserve">Begrunnelse: </w:t>
            </w:r>
            <w:r w:rsidRPr="00431FE1">
              <w:rPr>
                <w:sz w:val="24"/>
                <w:szCs w:val="24"/>
                <w:lang w:val="nb-NO"/>
              </w:rPr>
              <w:t>Det er ikke lurt å investere stort i en industri som skal lage leveranser til en oljeproduksjon som av miljøgrunner bør utfases snarest mulig. Da vil det bare oppstå et nytt arbeidsløshetsproblem i denne industrien om et tiår eller to når oljealderen likevel må avsluttes (dersom vi i det hele tatt mener noe med målene om utslippskutt). Hvorfor skal industri-investeringene gå til akkurat denne industrien? Hvorfor ikke i helt annen, statlig industri som produserer varer folk har bruk for, men som nå importeres?</w:t>
            </w:r>
          </w:p>
        </w:tc>
      </w:tr>
    </w:tbl>
    <w:p w14:paraId="4F21333F" w14:textId="77777777" w:rsidR="00431FE1" w:rsidRPr="00431FE1" w:rsidRDefault="00431FE1" w:rsidP="00431FE1">
      <w:pPr>
        <w:rPr>
          <w:sz w:val="24"/>
          <w:szCs w:val="24"/>
          <w:lang w:val="nb-NO"/>
        </w:rPr>
      </w:pPr>
    </w:p>
    <w:p w14:paraId="47B7DBC4" w14:textId="77777777" w:rsidR="00431FE1" w:rsidRPr="00431FE1" w:rsidRDefault="00431FE1" w:rsidP="00431FE1">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3"/>
        <w:gridCol w:w="5007"/>
      </w:tblGrid>
      <w:tr w:rsidR="00431FE1" w:rsidRPr="00431FE1" w14:paraId="1F3BF8DE" w14:textId="77777777" w:rsidTr="004D555C">
        <w:tc>
          <w:tcPr>
            <w:tcW w:w="4353" w:type="dxa"/>
            <w:shd w:val="clear" w:color="auto" w:fill="auto"/>
            <w:tcMar>
              <w:top w:w="100" w:type="dxa"/>
              <w:left w:w="100" w:type="dxa"/>
              <w:bottom w:w="100" w:type="dxa"/>
              <w:right w:w="100" w:type="dxa"/>
            </w:tcMar>
          </w:tcPr>
          <w:p w14:paraId="7376CCE9" w14:textId="77777777" w:rsidR="00431FE1" w:rsidRPr="00431FE1" w:rsidRDefault="00431FE1" w:rsidP="00987775">
            <w:pPr>
              <w:widowControl w:val="0"/>
              <w:spacing w:line="240" w:lineRule="auto"/>
              <w:rPr>
                <w:b/>
                <w:sz w:val="24"/>
                <w:szCs w:val="24"/>
              </w:rPr>
            </w:pPr>
            <w:r w:rsidRPr="00431FE1">
              <w:rPr>
                <w:b/>
                <w:sz w:val="24"/>
                <w:szCs w:val="24"/>
              </w:rPr>
              <w:t xml:space="preserve">Type forslag: </w:t>
            </w:r>
            <w:r w:rsidRPr="00431FE1">
              <w:rPr>
                <w:sz w:val="24"/>
                <w:szCs w:val="24"/>
              </w:rPr>
              <w:t>Nytt punkt</w:t>
            </w:r>
          </w:p>
        </w:tc>
        <w:tc>
          <w:tcPr>
            <w:tcW w:w="5007" w:type="dxa"/>
            <w:shd w:val="clear" w:color="auto" w:fill="auto"/>
            <w:tcMar>
              <w:top w:w="100" w:type="dxa"/>
              <w:left w:w="100" w:type="dxa"/>
              <w:bottom w:w="100" w:type="dxa"/>
              <w:right w:w="100" w:type="dxa"/>
            </w:tcMar>
          </w:tcPr>
          <w:p w14:paraId="2F9FF743" w14:textId="77777777" w:rsidR="004D555C" w:rsidRPr="004937FA" w:rsidRDefault="004D555C" w:rsidP="004D555C">
            <w:pPr>
              <w:spacing w:line="240" w:lineRule="auto"/>
              <w:rPr>
                <w:b/>
                <w:sz w:val="24"/>
                <w:szCs w:val="24"/>
                <w:lang w:val="nb-NO"/>
              </w:rPr>
            </w:pPr>
            <w:r w:rsidRPr="004937FA">
              <w:rPr>
                <w:b/>
                <w:sz w:val="24"/>
                <w:szCs w:val="24"/>
                <w:lang w:val="nb-NO"/>
              </w:rPr>
              <w:t xml:space="preserve">Forslagsstiller: Hjalmar Kolsaker </w:t>
            </w:r>
          </w:p>
          <w:p w14:paraId="26DD9F7B" w14:textId="77777777" w:rsidR="00431FE1" w:rsidRPr="00431FE1" w:rsidRDefault="004D555C" w:rsidP="004D555C">
            <w:pPr>
              <w:widowControl w:val="0"/>
              <w:spacing w:line="240" w:lineRule="auto"/>
              <w:rPr>
                <w:sz w:val="24"/>
                <w:szCs w:val="24"/>
                <w:lang w:val="nb-NO"/>
              </w:rPr>
            </w:pPr>
            <w:r w:rsidRPr="001F1060">
              <w:rPr>
                <w:sz w:val="24"/>
                <w:szCs w:val="24"/>
                <w:lang w:val="nb-NO"/>
              </w:rPr>
              <w:t>/ Rødt Oslos miljø- og samferdselsutvalg</w:t>
            </w:r>
          </w:p>
        </w:tc>
      </w:tr>
      <w:tr w:rsidR="00431FE1" w:rsidRPr="00431FE1" w14:paraId="6D9222BA" w14:textId="77777777" w:rsidTr="004D555C">
        <w:tc>
          <w:tcPr>
            <w:tcW w:w="4353" w:type="dxa"/>
            <w:shd w:val="clear" w:color="auto" w:fill="auto"/>
            <w:tcMar>
              <w:top w:w="100" w:type="dxa"/>
              <w:left w:w="100" w:type="dxa"/>
              <w:bottom w:w="100" w:type="dxa"/>
              <w:right w:w="100" w:type="dxa"/>
            </w:tcMar>
          </w:tcPr>
          <w:p w14:paraId="5AC7258D" w14:textId="77777777" w:rsidR="00431FE1" w:rsidRPr="00431FE1" w:rsidRDefault="00431FE1" w:rsidP="00987775">
            <w:pPr>
              <w:widowControl w:val="0"/>
              <w:spacing w:line="240" w:lineRule="auto"/>
              <w:rPr>
                <w:sz w:val="24"/>
                <w:szCs w:val="24"/>
              </w:rPr>
            </w:pPr>
            <w:r w:rsidRPr="00431FE1">
              <w:rPr>
                <w:b/>
                <w:sz w:val="24"/>
                <w:szCs w:val="24"/>
              </w:rPr>
              <w:t xml:space="preserve">Kapittel: </w:t>
            </w:r>
            <w:r w:rsidRPr="00431FE1">
              <w:rPr>
                <w:sz w:val="24"/>
                <w:szCs w:val="24"/>
              </w:rPr>
              <w:t>17</w:t>
            </w:r>
          </w:p>
        </w:tc>
        <w:tc>
          <w:tcPr>
            <w:tcW w:w="5007" w:type="dxa"/>
            <w:shd w:val="clear" w:color="auto" w:fill="auto"/>
            <w:tcMar>
              <w:top w:w="100" w:type="dxa"/>
              <w:left w:w="100" w:type="dxa"/>
              <w:bottom w:w="100" w:type="dxa"/>
              <w:right w:w="100" w:type="dxa"/>
            </w:tcMar>
          </w:tcPr>
          <w:p w14:paraId="24F88850" w14:textId="679825ED" w:rsidR="00431FE1" w:rsidRPr="00431FE1" w:rsidRDefault="00431FE1" w:rsidP="00987775">
            <w:pPr>
              <w:widowControl w:val="0"/>
              <w:spacing w:line="240" w:lineRule="auto"/>
              <w:rPr>
                <w:sz w:val="24"/>
                <w:szCs w:val="24"/>
              </w:rPr>
            </w:pPr>
            <w:r w:rsidRPr="00431FE1">
              <w:rPr>
                <w:b/>
                <w:sz w:val="24"/>
                <w:szCs w:val="24"/>
              </w:rPr>
              <w:t xml:space="preserve">Punkt: </w:t>
            </w:r>
            <w:r w:rsidRPr="00431FE1">
              <w:rPr>
                <w:sz w:val="24"/>
                <w:szCs w:val="24"/>
              </w:rPr>
              <w:t>17.1</w:t>
            </w:r>
            <w:r w:rsidR="00D52E7B">
              <w:rPr>
                <w:sz w:val="24"/>
                <w:szCs w:val="24"/>
              </w:rPr>
              <w:t xml:space="preserve"> </w:t>
            </w:r>
            <w:r w:rsidR="00D52E7B">
              <w:rPr>
                <w:rFonts w:ascii="Helvetica" w:eastAsiaTheme="minorEastAsia" w:hAnsi="Helvetica" w:cs="Helvetica"/>
                <w:b/>
                <w:bCs/>
                <w:sz w:val="24"/>
                <w:szCs w:val="24"/>
                <w:lang w:val="en-US" w:eastAsia="nb-NO"/>
              </w:rPr>
              <w:t>Veien ut av oljealderen </w:t>
            </w:r>
          </w:p>
        </w:tc>
      </w:tr>
      <w:tr w:rsidR="00431FE1" w:rsidRPr="00431FE1" w14:paraId="0F81E19E" w14:textId="77777777" w:rsidTr="004D555C">
        <w:tc>
          <w:tcPr>
            <w:tcW w:w="4353" w:type="dxa"/>
            <w:shd w:val="clear" w:color="auto" w:fill="auto"/>
            <w:tcMar>
              <w:top w:w="100" w:type="dxa"/>
              <w:left w:w="100" w:type="dxa"/>
              <w:bottom w:w="100" w:type="dxa"/>
              <w:right w:w="100" w:type="dxa"/>
            </w:tcMar>
          </w:tcPr>
          <w:p w14:paraId="1A4B2638" w14:textId="77777777" w:rsidR="00431FE1" w:rsidRPr="00431FE1" w:rsidRDefault="00431FE1" w:rsidP="00987775">
            <w:pPr>
              <w:widowControl w:val="0"/>
              <w:spacing w:line="240" w:lineRule="auto"/>
              <w:rPr>
                <w:sz w:val="24"/>
                <w:szCs w:val="24"/>
              </w:rPr>
            </w:pPr>
            <w:r w:rsidRPr="00431FE1">
              <w:rPr>
                <w:b/>
                <w:sz w:val="24"/>
                <w:szCs w:val="24"/>
              </w:rPr>
              <w:t xml:space="preserve">Linjenummer: </w:t>
            </w:r>
            <w:r w:rsidRPr="00431FE1">
              <w:rPr>
                <w:sz w:val="24"/>
                <w:szCs w:val="24"/>
              </w:rPr>
              <w:t>N/A</w:t>
            </w:r>
          </w:p>
        </w:tc>
        <w:tc>
          <w:tcPr>
            <w:tcW w:w="5007" w:type="dxa"/>
            <w:shd w:val="clear" w:color="auto" w:fill="auto"/>
            <w:tcMar>
              <w:top w:w="100" w:type="dxa"/>
              <w:left w:w="100" w:type="dxa"/>
              <w:bottom w:w="100" w:type="dxa"/>
              <w:right w:w="100" w:type="dxa"/>
            </w:tcMar>
          </w:tcPr>
          <w:p w14:paraId="5005F481" w14:textId="77777777" w:rsidR="00431FE1" w:rsidRPr="00431FE1" w:rsidRDefault="00431FE1" w:rsidP="00987775">
            <w:pPr>
              <w:widowControl w:val="0"/>
              <w:spacing w:line="240" w:lineRule="auto"/>
              <w:rPr>
                <w:b/>
                <w:sz w:val="24"/>
                <w:szCs w:val="24"/>
              </w:rPr>
            </w:pPr>
          </w:p>
        </w:tc>
      </w:tr>
      <w:tr w:rsidR="00431FE1" w:rsidRPr="00431FE1" w14:paraId="4C5A3072" w14:textId="77777777" w:rsidTr="00987775">
        <w:trPr>
          <w:trHeight w:val="480"/>
        </w:trPr>
        <w:tc>
          <w:tcPr>
            <w:tcW w:w="9360" w:type="dxa"/>
            <w:gridSpan w:val="2"/>
            <w:shd w:val="clear" w:color="auto" w:fill="auto"/>
            <w:tcMar>
              <w:top w:w="100" w:type="dxa"/>
              <w:left w:w="100" w:type="dxa"/>
              <w:bottom w:w="100" w:type="dxa"/>
              <w:right w:w="100" w:type="dxa"/>
            </w:tcMar>
          </w:tcPr>
          <w:p w14:paraId="04B91B55" w14:textId="77777777" w:rsidR="00431FE1" w:rsidRPr="00431FE1" w:rsidRDefault="00431FE1" w:rsidP="00987775">
            <w:pPr>
              <w:widowControl w:val="0"/>
              <w:spacing w:line="240" w:lineRule="auto"/>
              <w:rPr>
                <w:sz w:val="24"/>
                <w:szCs w:val="24"/>
              </w:rPr>
            </w:pPr>
            <w:r w:rsidRPr="00431FE1">
              <w:rPr>
                <w:b/>
                <w:sz w:val="24"/>
                <w:szCs w:val="24"/>
              </w:rPr>
              <w:t xml:space="preserve">Opprinnelig punkt: </w:t>
            </w:r>
            <w:r w:rsidRPr="00431FE1">
              <w:rPr>
                <w:sz w:val="24"/>
                <w:szCs w:val="24"/>
              </w:rPr>
              <w:t>N/A</w:t>
            </w:r>
          </w:p>
        </w:tc>
      </w:tr>
      <w:tr w:rsidR="00431FE1" w:rsidRPr="00431FE1" w14:paraId="3C9F2A15" w14:textId="77777777" w:rsidTr="00987775">
        <w:trPr>
          <w:trHeight w:val="480"/>
        </w:trPr>
        <w:tc>
          <w:tcPr>
            <w:tcW w:w="9360" w:type="dxa"/>
            <w:gridSpan w:val="2"/>
            <w:shd w:val="clear" w:color="auto" w:fill="auto"/>
            <w:tcMar>
              <w:top w:w="100" w:type="dxa"/>
              <w:left w:w="100" w:type="dxa"/>
              <w:bottom w:w="100" w:type="dxa"/>
              <w:right w:w="100" w:type="dxa"/>
            </w:tcMar>
          </w:tcPr>
          <w:p w14:paraId="3B015178" w14:textId="77777777" w:rsidR="00431FE1" w:rsidRPr="00431FE1" w:rsidRDefault="00431FE1" w:rsidP="00987775">
            <w:pPr>
              <w:widowControl w:val="0"/>
              <w:spacing w:line="240" w:lineRule="auto"/>
              <w:rPr>
                <w:sz w:val="24"/>
                <w:szCs w:val="24"/>
                <w:lang w:val="nb-NO"/>
              </w:rPr>
            </w:pPr>
            <w:r w:rsidRPr="00431FE1">
              <w:rPr>
                <w:b/>
                <w:sz w:val="24"/>
                <w:szCs w:val="24"/>
                <w:lang w:val="nb-NO"/>
              </w:rPr>
              <w:t xml:space="preserve">Nytt punkt: </w:t>
            </w:r>
            <w:r w:rsidRPr="00431FE1">
              <w:rPr>
                <w:sz w:val="24"/>
                <w:szCs w:val="24"/>
                <w:lang w:val="nb-NO"/>
              </w:rPr>
              <w:t>Utvinning av norsk olje og gass skal reduseres med minst 55 % innen 2030, og med minst 95 % innen 2040.</w:t>
            </w:r>
          </w:p>
        </w:tc>
      </w:tr>
      <w:tr w:rsidR="00431FE1" w:rsidRPr="00431FE1" w14:paraId="09E877F1" w14:textId="77777777" w:rsidTr="00987775">
        <w:trPr>
          <w:trHeight w:val="480"/>
        </w:trPr>
        <w:tc>
          <w:tcPr>
            <w:tcW w:w="9360" w:type="dxa"/>
            <w:gridSpan w:val="2"/>
            <w:shd w:val="clear" w:color="auto" w:fill="auto"/>
            <w:tcMar>
              <w:top w:w="100" w:type="dxa"/>
              <w:left w:w="100" w:type="dxa"/>
              <w:bottom w:w="100" w:type="dxa"/>
              <w:right w:w="100" w:type="dxa"/>
            </w:tcMar>
          </w:tcPr>
          <w:p w14:paraId="411E3807" w14:textId="77777777" w:rsidR="00431FE1" w:rsidRPr="00431FE1" w:rsidRDefault="00431FE1" w:rsidP="00987775">
            <w:pPr>
              <w:widowControl w:val="0"/>
              <w:spacing w:line="240" w:lineRule="auto"/>
              <w:rPr>
                <w:sz w:val="24"/>
                <w:szCs w:val="24"/>
                <w:lang w:val="nb-NO"/>
              </w:rPr>
            </w:pPr>
            <w:r w:rsidRPr="00431FE1">
              <w:rPr>
                <w:b/>
                <w:sz w:val="24"/>
                <w:szCs w:val="24"/>
                <w:lang w:val="nb-NO"/>
              </w:rPr>
              <w:t xml:space="preserve">Begrunnelse: </w:t>
            </w:r>
            <w:r w:rsidRPr="00431FE1">
              <w:rPr>
                <w:sz w:val="24"/>
                <w:szCs w:val="24"/>
                <w:lang w:val="nb-NO"/>
              </w:rPr>
              <w:t>Mange av oss deltok på medlemsmøtet i Rødt Oslo som handlet om dette, og hørte gode argumenter fra begge sider. Vi støtter dissensforslaget fra Mailiss og Alberte i arbeidsprogramkomiteen.</w:t>
            </w:r>
          </w:p>
          <w:p w14:paraId="3F583A90" w14:textId="77777777" w:rsidR="00431FE1" w:rsidRPr="00431FE1" w:rsidRDefault="00431FE1" w:rsidP="00987775">
            <w:pPr>
              <w:widowControl w:val="0"/>
              <w:spacing w:line="240" w:lineRule="auto"/>
              <w:rPr>
                <w:sz w:val="24"/>
                <w:szCs w:val="24"/>
                <w:lang w:val="nb-NO"/>
              </w:rPr>
            </w:pPr>
          </w:p>
          <w:p w14:paraId="36CB6DDF" w14:textId="77777777" w:rsidR="00431FE1" w:rsidRPr="00431FE1" w:rsidRDefault="00431FE1" w:rsidP="00987775">
            <w:pPr>
              <w:widowControl w:val="0"/>
              <w:spacing w:line="240" w:lineRule="auto"/>
              <w:rPr>
                <w:sz w:val="24"/>
                <w:szCs w:val="24"/>
                <w:lang w:val="nb-NO"/>
              </w:rPr>
            </w:pPr>
            <w:r w:rsidRPr="00431FE1">
              <w:rPr>
                <w:sz w:val="24"/>
                <w:szCs w:val="24"/>
                <w:lang w:val="nb-NO"/>
              </w:rPr>
              <w:t>Til argumentet om at det å sette en sluttdato vil skremme vekk eventuelle velgere og nye støttespillere, mener vi mangel på tydelighet om hvor vi står på dette temaet, også vil kunne skremme vekk velgere og støttespillere, særlig blant unge. Så det kan slå begge veier.</w:t>
            </w:r>
          </w:p>
          <w:p w14:paraId="3542C965" w14:textId="77777777" w:rsidR="00431FE1" w:rsidRPr="00431FE1" w:rsidRDefault="00431FE1" w:rsidP="00987775">
            <w:pPr>
              <w:widowControl w:val="0"/>
              <w:spacing w:line="240" w:lineRule="auto"/>
              <w:rPr>
                <w:sz w:val="24"/>
                <w:szCs w:val="24"/>
                <w:lang w:val="nb-NO"/>
              </w:rPr>
            </w:pPr>
          </w:p>
          <w:p w14:paraId="5E35092C" w14:textId="77777777" w:rsidR="00431FE1" w:rsidRPr="00431FE1" w:rsidRDefault="00431FE1" w:rsidP="00987775">
            <w:pPr>
              <w:widowControl w:val="0"/>
              <w:spacing w:line="240" w:lineRule="auto"/>
              <w:rPr>
                <w:sz w:val="24"/>
                <w:szCs w:val="24"/>
                <w:lang w:val="nb-NO"/>
              </w:rPr>
            </w:pPr>
            <w:r w:rsidRPr="00431FE1">
              <w:rPr>
                <w:sz w:val="24"/>
                <w:szCs w:val="24"/>
                <w:lang w:val="nb-NO"/>
              </w:rPr>
              <w:t xml:space="preserve">Vi er uenige i argumentet om at det å sette en sluttdato gjør at vi seinere taper troverdighet dersom en 2030-slutt ikke skjer og vi derfor må “si oss enige” i en seinere dato. Vi taper for det første også troverdighet som klimaparti om vi ikke er tydelige på dette (igjen, særlig blant unge) og dessuten kan man like gjerne si at det at vi først sa 2020, deretter 2030 når 2020 passerte uten suksess, faktisk handler om å være ærlige om hva som må til og hva vitenskapen anbefaler.  </w:t>
            </w:r>
          </w:p>
          <w:p w14:paraId="33ADC2E3" w14:textId="77777777" w:rsidR="00431FE1" w:rsidRPr="00431FE1" w:rsidRDefault="00431FE1" w:rsidP="00987775">
            <w:pPr>
              <w:widowControl w:val="0"/>
              <w:spacing w:line="240" w:lineRule="auto"/>
              <w:rPr>
                <w:sz w:val="24"/>
                <w:szCs w:val="24"/>
                <w:lang w:val="nb-NO"/>
              </w:rPr>
            </w:pPr>
          </w:p>
          <w:p w14:paraId="2C1A5981" w14:textId="77777777" w:rsidR="00431FE1" w:rsidRPr="00431FE1" w:rsidRDefault="00431FE1" w:rsidP="00987775">
            <w:pPr>
              <w:widowControl w:val="0"/>
              <w:spacing w:line="240" w:lineRule="auto"/>
              <w:rPr>
                <w:sz w:val="24"/>
                <w:szCs w:val="24"/>
              </w:rPr>
            </w:pPr>
            <w:r w:rsidRPr="00431FE1">
              <w:rPr>
                <w:sz w:val="24"/>
                <w:szCs w:val="24"/>
                <w:lang w:val="nb-NO"/>
              </w:rPr>
              <w:t xml:space="preserve">Til slutt mener vi Norge er det oljeproduserende landet i verden med best forutsetninger for å få til en rettferdig omstilling vekk fra oljealderen. </w:t>
            </w:r>
            <w:r w:rsidRPr="00431FE1">
              <w:rPr>
                <w:sz w:val="24"/>
                <w:szCs w:val="24"/>
              </w:rPr>
              <w:t xml:space="preserve">I en fersk rapport fra Stanley Center for Peace and Security, scorer Norge best på en graf med aksene "capacity to fund just transition" og "more difficult transition". </w:t>
            </w:r>
            <w:r w:rsidRPr="00431FE1">
              <w:rPr>
                <w:sz w:val="24"/>
                <w:szCs w:val="24"/>
                <w:lang w:val="nb-NO"/>
              </w:rPr>
              <w:t xml:space="preserve">Vi har mest kapasitet og minst vansker til å gjennomføre dette og MÅ lede an. </w:t>
            </w:r>
            <w:r w:rsidRPr="00431FE1">
              <w:rPr>
                <w:sz w:val="24"/>
                <w:szCs w:val="24"/>
              </w:rPr>
              <w:t xml:space="preserve">Se side 7: </w:t>
            </w:r>
            <w:hyperlink r:id="rId5">
              <w:r w:rsidRPr="00431FE1">
                <w:rPr>
                  <w:color w:val="1155CC"/>
                  <w:sz w:val="24"/>
                  <w:szCs w:val="24"/>
                  <w:u w:val="single"/>
                </w:rPr>
                <w:t>https://stanleycenter.org/wp-content/uploads/2020/09/CCAI-FourDsOfOilsJustTransition92820.pdf</w:t>
              </w:r>
            </w:hyperlink>
            <w:r w:rsidRPr="00431FE1">
              <w:rPr>
                <w:sz w:val="24"/>
                <w:szCs w:val="24"/>
              </w:rPr>
              <w:t xml:space="preserve"> </w:t>
            </w:r>
          </w:p>
        </w:tc>
      </w:tr>
    </w:tbl>
    <w:p w14:paraId="364E165E" w14:textId="77777777" w:rsidR="00431FE1" w:rsidRPr="00431FE1" w:rsidRDefault="00431FE1" w:rsidP="00431FE1">
      <w:pPr>
        <w:rPr>
          <w:sz w:val="24"/>
          <w:szCs w:val="24"/>
        </w:rPr>
      </w:pPr>
    </w:p>
    <w:p w14:paraId="6CBCE85E" w14:textId="77777777" w:rsidR="00431FE1" w:rsidRPr="00431FE1" w:rsidRDefault="00431FE1" w:rsidP="00431FE1">
      <w:pPr>
        <w:spacing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3"/>
        <w:gridCol w:w="5007"/>
      </w:tblGrid>
      <w:tr w:rsidR="00431FE1" w:rsidRPr="00431FE1" w14:paraId="5D9AB677" w14:textId="77777777" w:rsidTr="004D555C">
        <w:tc>
          <w:tcPr>
            <w:tcW w:w="4353" w:type="dxa"/>
            <w:shd w:val="clear" w:color="auto" w:fill="auto"/>
            <w:tcMar>
              <w:top w:w="100" w:type="dxa"/>
              <w:left w:w="100" w:type="dxa"/>
              <w:bottom w:w="100" w:type="dxa"/>
              <w:right w:w="100" w:type="dxa"/>
            </w:tcMar>
          </w:tcPr>
          <w:p w14:paraId="262B3E49" w14:textId="77777777" w:rsidR="00431FE1" w:rsidRPr="00431FE1" w:rsidRDefault="00431FE1" w:rsidP="00987775">
            <w:pPr>
              <w:widowControl w:val="0"/>
              <w:spacing w:line="240" w:lineRule="auto"/>
              <w:rPr>
                <w:b/>
                <w:sz w:val="24"/>
                <w:szCs w:val="24"/>
              </w:rPr>
            </w:pPr>
            <w:r w:rsidRPr="00431FE1">
              <w:rPr>
                <w:b/>
                <w:sz w:val="24"/>
                <w:szCs w:val="24"/>
              </w:rPr>
              <w:t xml:space="preserve">Type forslag: </w:t>
            </w:r>
            <w:r w:rsidRPr="00431FE1">
              <w:rPr>
                <w:sz w:val="24"/>
                <w:szCs w:val="24"/>
              </w:rPr>
              <w:t>Strykning</w:t>
            </w:r>
          </w:p>
        </w:tc>
        <w:tc>
          <w:tcPr>
            <w:tcW w:w="5007" w:type="dxa"/>
            <w:shd w:val="clear" w:color="auto" w:fill="auto"/>
            <w:tcMar>
              <w:top w:w="100" w:type="dxa"/>
              <w:left w:w="100" w:type="dxa"/>
              <w:bottom w:w="100" w:type="dxa"/>
              <w:right w:w="100" w:type="dxa"/>
            </w:tcMar>
          </w:tcPr>
          <w:p w14:paraId="64012BCB" w14:textId="77777777" w:rsidR="004D555C" w:rsidRPr="004937FA" w:rsidRDefault="004D555C" w:rsidP="004D555C">
            <w:pPr>
              <w:spacing w:line="240" w:lineRule="auto"/>
              <w:rPr>
                <w:b/>
                <w:sz w:val="24"/>
                <w:szCs w:val="24"/>
                <w:lang w:val="nb-NO"/>
              </w:rPr>
            </w:pPr>
            <w:r w:rsidRPr="004937FA">
              <w:rPr>
                <w:b/>
                <w:sz w:val="24"/>
                <w:szCs w:val="24"/>
                <w:lang w:val="nb-NO"/>
              </w:rPr>
              <w:t xml:space="preserve">Forslagsstiller: Hjalmar Kolsaker </w:t>
            </w:r>
          </w:p>
          <w:p w14:paraId="1BF9EA35" w14:textId="77777777" w:rsidR="00431FE1" w:rsidRPr="00431FE1" w:rsidRDefault="004D555C" w:rsidP="004D555C">
            <w:pPr>
              <w:widowControl w:val="0"/>
              <w:spacing w:line="240" w:lineRule="auto"/>
              <w:rPr>
                <w:sz w:val="24"/>
                <w:szCs w:val="24"/>
                <w:lang w:val="nb-NO"/>
              </w:rPr>
            </w:pPr>
            <w:r w:rsidRPr="001F1060">
              <w:rPr>
                <w:sz w:val="24"/>
                <w:szCs w:val="24"/>
                <w:lang w:val="nb-NO"/>
              </w:rPr>
              <w:t>/ Rødt Oslos miljø- og samferdselsutvalg</w:t>
            </w:r>
          </w:p>
        </w:tc>
      </w:tr>
      <w:tr w:rsidR="00431FE1" w:rsidRPr="00431FE1" w14:paraId="612F5FD5" w14:textId="77777777" w:rsidTr="004D555C">
        <w:tc>
          <w:tcPr>
            <w:tcW w:w="4353" w:type="dxa"/>
            <w:shd w:val="clear" w:color="auto" w:fill="auto"/>
            <w:tcMar>
              <w:top w:w="100" w:type="dxa"/>
              <w:left w:w="100" w:type="dxa"/>
              <w:bottom w:w="100" w:type="dxa"/>
              <w:right w:w="100" w:type="dxa"/>
            </w:tcMar>
          </w:tcPr>
          <w:p w14:paraId="1356CA73" w14:textId="77777777" w:rsidR="00431FE1" w:rsidRPr="00431FE1" w:rsidRDefault="00431FE1" w:rsidP="00987775">
            <w:pPr>
              <w:widowControl w:val="0"/>
              <w:spacing w:line="240" w:lineRule="auto"/>
              <w:rPr>
                <w:sz w:val="24"/>
                <w:szCs w:val="24"/>
              </w:rPr>
            </w:pPr>
            <w:r w:rsidRPr="00431FE1">
              <w:rPr>
                <w:b/>
                <w:sz w:val="24"/>
                <w:szCs w:val="24"/>
              </w:rPr>
              <w:t xml:space="preserve">Kapittel: </w:t>
            </w:r>
            <w:r w:rsidRPr="00431FE1">
              <w:rPr>
                <w:sz w:val="24"/>
                <w:szCs w:val="24"/>
              </w:rPr>
              <w:t>17</w:t>
            </w:r>
          </w:p>
        </w:tc>
        <w:tc>
          <w:tcPr>
            <w:tcW w:w="5007" w:type="dxa"/>
            <w:shd w:val="clear" w:color="auto" w:fill="auto"/>
            <w:tcMar>
              <w:top w:w="100" w:type="dxa"/>
              <w:left w:w="100" w:type="dxa"/>
              <w:bottom w:w="100" w:type="dxa"/>
              <w:right w:w="100" w:type="dxa"/>
            </w:tcMar>
          </w:tcPr>
          <w:p w14:paraId="03A161BE" w14:textId="7F71B469" w:rsidR="00431FE1" w:rsidRPr="00431FE1" w:rsidRDefault="00431FE1" w:rsidP="00987775">
            <w:pPr>
              <w:widowControl w:val="0"/>
              <w:spacing w:line="240" w:lineRule="auto"/>
              <w:rPr>
                <w:sz w:val="24"/>
                <w:szCs w:val="24"/>
              </w:rPr>
            </w:pPr>
            <w:r w:rsidRPr="00431FE1">
              <w:rPr>
                <w:b/>
                <w:sz w:val="24"/>
                <w:szCs w:val="24"/>
              </w:rPr>
              <w:t xml:space="preserve">Punkt: </w:t>
            </w:r>
            <w:r w:rsidRPr="00431FE1">
              <w:rPr>
                <w:sz w:val="24"/>
                <w:szCs w:val="24"/>
              </w:rPr>
              <w:t>17.3 a</w:t>
            </w:r>
            <w:r w:rsidR="00D52E7B">
              <w:rPr>
                <w:sz w:val="24"/>
                <w:szCs w:val="24"/>
              </w:rPr>
              <w:t xml:space="preserve"> </w:t>
            </w:r>
            <w:r w:rsidR="00D52E7B">
              <w:rPr>
                <w:rFonts w:ascii="Helvetica" w:eastAsiaTheme="minorEastAsia" w:hAnsi="Helvetica" w:cs="Helvetica"/>
                <w:b/>
                <w:bCs/>
                <w:sz w:val="24"/>
                <w:szCs w:val="24"/>
                <w:lang w:val="en-US" w:eastAsia="nb-NO"/>
              </w:rPr>
              <w:t>En bedre oljenæring    </w:t>
            </w:r>
          </w:p>
        </w:tc>
      </w:tr>
      <w:tr w:rsidR="00431FE1" w:rsidRPr="00431FE1" w14:paraId="1191E0F2" w14:textId="77777777" w:rsidTr="004D555C">
        <w:tc>
          <w:tcPr>
            <w:tcW w:w="4353" w:type="dxa"/>
            <w:shd w:val="clear" w:color="auto" w:fill="auto"/>
            <w:tcMar>
              <w:top w:w="100" w:type="dxa"/>
              <w:left w:w="100" w:type="dxa"/>
              <w:bottom w:w="100" w:type="dxa"/>
              <w:right w:w="100" w:type="dxa"/>
            </w:tcMar>
          </w:tcPr>
          <w:p w14:paraId="717C55DA" w14:textId="77777777" w:rsidR="00431FE1" w:rsidRPr="00431FE1" w:rsidRDefault="00431FE1" w:rsidP="00987775">
            <w:pPr>
              <w:widowControl w:val="0"/>
              <w:spacing w:line="240" w:lineRule="auto"/>
              <w:rPr>
                <w:sz w:val="24"/>
                <w:szCs w:val="24"/>
              </w:rPr>
            </w:pPr>
            <w:r w:rsidRPr="00431FE1">
              <w:rPr>
                <w:b/>
                <w:sz w:val="24"/>
                <w:szCs w:val="24"/>
              </w:rPr>
              <w:t>Linjenummer:</w:t>
            </w:r>
            <w:r w:rsidRPr="00431FE1">
              <w:rPr>
                <w:sz w:val="24"/>
                <w:szCs w:val="24"/>
              </w:rPr>
              <w:t xml:space="preserve"> 1828-1829</w:t>
            </w:r>
          </w:p>
        </w:tc>
        <w:tc>
          <w:tcPr>
            <w:tcW w:w="5007" w:type="dxa"/>
            <w:shd w:val="clear" w:color="auto" w:fill="auto"/>
            <w:tcMar>
              <w:top w:w="100" w:type="dxa"/>
              <w:left w:w="100" w:type="dxa"/>
              <w:bottom w:w="100" w:type="dxa"/>
              <w:right w:w="100" w:type="dxa"/>
            </w:tcMar>
          </w:tcPr>
          <w:p w14:paraId="49F6867A" w14:textId="77777777" w:rsidR="00431FE1" w:rsidRPr="00431FE1" w:rsidRDefault="00431FE1" w:rsidP="00987775">
            <w:pPr>
              <w:widowControl w:val="0"/>
              <w:spacing w:line="240" w:lineRule="auto"/>
              <w:rPr>
                <w:b/>
                <w:sz w:val="24"/>
                <w:szCs w:val="24"/>
              </w:rPr>
            </w:pPr>
          </w:p>
        </w:tc>
      </w:tr>
      <w:tr w:rsidR="00431FE1" w:rsidRPr="00431FE1" w14:paraId="6132E992" w14:textId="77777777" w:rsidTr="00987775">
        <w:trPr>
          <w:trHeight w:val="480"/>
        </w:trPr>
        <w:tc>
          <w:tcPr>
            <w:tcW w:w="9360" w:type="dxa"/>
            <w:gridSpan w:val="2"/>
            <w:shd w:val="clear" w:color="auto" w:fill="auto"/>
            <w:tcMar>
              <w:top w:w="100" w:type="dxa"/>
              <w:left w:w="100" w:type="dxa"/>
              <w:bottom w:w="100" w:type="dxa"/>
              <w:right w:w="100" w:type="dxa"/>
            </w:tcMar>
          </w:tcPr>
          <w:p w14:paraId="246F6999" w14:textId="77777777" w:rsidR="00431FE1" w:rsidRPr="00431FE1" w:rsidRDefault="00431FE1" w:rsidP="00987775">
            <w:pPr>
              <w:widowControl w:val="0"/>
              <w:spacing w:line="240" w:lineRule="auto"/>
              <w:rPr>
                <w:sz w:val="24"/>
                <w:szCs w:val="24"/>
                <w:lang w:val="nb-NO"/>
              </w:rPr>
            </w:pPr>
            <w:r w:rsidRPr="00431FE1">
              <w:rPr>
                <w:b/>
                <w:sz w:val="24"/>
                <w:szCs w:val="24"/>
                <w:lang w:val="nb-NO"/>
              </w:rPr>
              <w:t xml:space="preserve">Opprinnelig punkt: </w:t>
            </w:r>
            <w:r w:rsidRPr="00431FE1">
              <w:rPr>
                <w:sz w:val="24"/>
                <w:szCs w:val="24"/>
                <w:lang w:val="nb-NO"/>
              </w:rPr>
              <w:t>Si nei til elektrifisering av sokkelen fra land, men støtte dette dersom det er basert på flytende havvind direkte knyttet til installasjonene.</w:t>
            </w:r>
          </w:p>
        </w:tc>
      </w:tr>
      <w:tr w:rsidR="00431FE1" w:rsidRPr="00431FE1" w14:paraId="617C31D3" w14:textId="77777777" w:rsidTr="004D555C">
        <w:trPr>
          <w:trHeight w:val="424"/>
        </w:trPr>
        <w:tc>
          <w:tcPr>
            <w:tcW w:w="9360" w:type="dxa"/>
            <w:gridSpan w:val="2"/>
            <w:shd w:val="clear" w:color="auto" w:fill="auto"/>
            <w:tcMar>
              <w:top w:w="100" w:type="dxa"/>
              <w:left w:w="100" w:type="dxa"/>
              <w:bottom w:w="100" w:type="dxa"/>
              <w:right w:w="100" w:type="dxa"/>
            </w:tcMar>
          </w:tcPr>
          <w:p w14:paraId="793781D1" w14:textId="77777777" w:rsidR="00431FE1" w:rsidRPr="00431FE1" w:rsidRDefault="00431FE1" w:rsidP="00987775">
            <w:pPr>
              <w:widowControl w:val="0"/>
              <w:spacing w:line="240" w:lineRule="auto"/>
              <w:rPr>
                <w:sz w:val="24"/>
                <w:szCs w:val="24"/>
              </w:rPr>
            </w:pPr>
            <w:r w:rsidRPr="00431FE1">
              <w:rPr>
                <w:b/>
                <w:sz w:val="24"/>
                <w:szCs w:val="24"/>
              </w:rPr>
              <w:t xml:space="preserve">Nytt punkt: </w:t>
            </w:r>
            <w:r w:rsidRPr="00431FE1">
              <w:rPr>
                <w:bCs/>
                <w:sz w:val="24"/>
                <w:szCs w:val="24"/>
              </w:rPr>
              <w:t>N/A</w:t>
            </w:r>
          </w:p>
        </w:tc>
      </w:tr>
      <w:tr w:rsidR="00431FE1" w:rsidRPr="00431FE1" w14:paraId="2F4DC3B6" w14:textId="77777777" w:rsidTr="00987775">
        <w:trPr>
          <w:trHeight w:val="480"/>
        </w:trPr>
        <w:tc>
          <w:tcPr>
            <w:tcW w:w="9360" w:type="dxa"/>
            <w:gridSpan w:val="2"/>
            <w:shd w:val="clear" w:color="auto" w:fill="auto"/>
            <w:tcMar>
              <w:top w:w="100" w:type="dxa"/>
              <w:left w:w="100" w:type="dxa"/>
              <w:bottom w:w="100" w:type="dxa"/>
              <w:right w:w="100" w:type="dxa"/>
            </w:tcMar>
          </w:tcPr>
          <w:p w14:paraId="74905214" w14:textId="77777777" w:rsidR="00431FE1" w:rsidRPr="00431FE1" w:rsidRDefault="00431FE1" w:rsidP="00987775">
            <w:pPr>
              <w:widowControl w:val="0"/>
              <w:spacing w:line="240" w:lineRule="auto"/>
              <w:rPr>
                <w:sz w:val="24"/>
                <w:szCs w:val="24"/>
                <w:lang w:val="nb-NO"/>
              </w:rPr>
            </w:pPr>
            <w:r w:rsidRPr="00431FE1">
              <w:rPr>
                <w:b/>
                <w:sz w:val="24"/>
                <w:szCs w:val="24"/>
                <w:lang w:val="nb-NO"/>
              </w:rPr>
              <w:t xml:space="preserve">Begrunnelse: </w:t>
            </w:r>
            <w:r w:rsidRPr="00431FE1">
              <w:rPr>
                <w:sz w:val="24"/>
                <w:szCs w:val="24"/>
                <w:lang w:val="nb-NO"/>
              </w:rPr>
              <w:t xml:space="preserve">Det er per nå ikke indre konsistens i vår politikk på energi, olje og klima i programmet. </w:t>
            </w:r>
          </w:p>
          <w:p w14:paraId="5FA9AEB8" w14:textId="77777777" w:rsidR="00431FE1" w:rsidRPr="00431FE1" w:rsidRDefault="00431FE1" w:rsidP="00987775">
            <w:pPr>
              <w:widowControl w:val="0"/>
              <w:spacing w:line="240" w:lineRule="auto"/>
              <w:rPr>
                <w:sz w:val="24"/>
                <w:szCs w:val="24"/>
                <w:lang w:val="nb-NO"/>
              </w:rPr>
            </w:pPr>
          </w:p>
          <w:p w14:paraId="0BA0A097" w14:textId="77777777" w:rsidR="00431FE1" w:rsidRPr="00431FE1" w:rsidRDefault="00431FE1" w:rsidP="00987775">
            <w:pPr>
              <w:widowControl w:val="0"/>
              <w:spacing w:line="240" w:lineRule="auto"/>
              <w:rPr>
                <w:sz w:val="24"/>
                <w:szCs w:val="24"/>
                <w:lang w:val="nb-NO"/>
              </w:rPr>
            </w:pPr>
            <w:r w:rsidRPr="00431FE1">
              <w:rPr>
                <w:sz w:val="24"/>
                <w:szCs w:val="24"/>
                <w:lang w:val="nb-NO"/>
              </w:rPr>
              <w:t xml:space="preserve">Programmet stadfester at Norge skal være utslippsnøytralt innen 2050. 13,9 pst. av våre utslipp stammer i dag fra sokkelen som følge av forbrenning av fossile energiprodukter for å generere strøm til oljeinstallasjonene. Disse utslippene må bort dersom vi skal nå målet om utslippsnøytralitet. Å nekte elektrifisering av sokkelen innebærer at eneste løsning er å avvikle all norsk produksjon av olje og gass innen 2050. Samtidig mener man i programmet at det ikke skal settes noen sluttdato for norsk oljeproduksjon. </w:t>
            </w:r>
          </w:p>
          <w:p w14:paraId="2C3D68DE" w14:textId="77777777" w:rsidR="00431FE1" w:rsidRPr="00431FE1" w:rsidRDefault="00431FE1" w:rsidP="00987775">
            <w:pPr>
              <w:widowControl w:val="0"/>
              <w:spacing w:line="240" w:lineRule="auto"/>
              <w:rPr>
                <w:sz w:val="24"/>
                <w:szCs w:val="24"/>
                <w:lang w:val="nb-NO"/>
              </w:rPr>
            </w:pPr>
          </w:p>
          <w:p w14:paraId="4AECE656" w14:textId="77777777" w:rsidR="00431FE1" w:rsidRPr="00431FE1" w:rsidRDefault="00431FE1" w:rsidP="00987775">
            <w:pPr>
              <w:widowControl w:val="0"/>
              <w:spacing w:line="240" w:lineRule="auto"/>
              <w:rPr>
                <w:sz w:val="24"/>
                <w:szCs w:val="24"/>
                <w:lang w:val="nb-NO"/>
              </w:rPr>
            </w:pPr>
            <w:r w:rsidRPr="00431FE1">
              <w:rPr>
                <w:sz w:val="24"/>
                <w:szCs w:val="24"/>
                <w:lang w:val="nb-NO"/>
              </w:rPr>
              <w:t xml:space="preserve">Å si nei til elektrifisering av sokkelen er svært dårlig klimapolitikk og vil gjøre det nærmest umulig å nå våre klimamål uten en svært rask avvikling av oljenæringen. I alle scenarier der verden når sine klimamål vil fortsatt olje og gass ha en viktig rolle. Da disse scenariene kun anses som realistiske hvis man kan utvikle effektiv teknologi for fangst og lagring. Gitt fangst og lagring er ikke bruk av olje og gass skadelig for klimaet. Olje brukes også til å fremstille andre viktige produkter som plast og asfalt. Det er utslipp av klimagasser som er problemet med olje og gass, ikke produksjonen. </w:t>
            </w:r>
          </w:p>
          <w:p w14:paraId="7D4D5B56" w14:textId="77777777" w:rsidR="00431FE1" w:rsidRPr="00431FE1" w:rsidRDefault="00431FE1" w:rsidP="00987775">
            <w:pPr>
              <w:widowControl w:val="0"/>
              <w:spacing w:line="240" w:lineRule="auto"/>
              <w:rPr>
                <w:sz w:val="24"/>
                <w:szCs w:val="24"/>
                <w:lang w:val="nb-NO"/>
              </w:rPr>
            </w:pPr>
          </w:p>
          <w:p w14:paraId="1BB5FA3D" w14:textId="77777777" w:rsidR="00431FE1" w:rsidRPr="00431FE1" w:rsidRDefault="00431FE1" w:rsidP="00987775">
            <w:pPr>
              <w:widowControl w:val="0"/>
              <w:spacing w:line="240" w:lineRule="auto"/>
              <w:rPr>
                <w:sz w:val="24"/>
                <w:szCs w:val="24"/>
                <w:lang w:val="nb-NO"/>
              </w:rPr>
            </w:pPr>
            <w:r w:rsidRPr="00431FE1">
              <w:rPr>
                <w:sz w:val="24"/>
                <w:szCs w:val="24"/>
                <w:lang w:val="nb-NO"/>
              </w:rPr>
              <w:t>Av verdens samlede utslipp av klimagasser kommer omtrent 20 pst. fra produksjon og utvinning av olje og gass. Norsk utvinning og produksjon er blant de i verden med lavest utslipp. I stedet for å legge ned norsk olje, og dermed bidra til økt produksjon i andre land med større globale utslipp som resultat, bør vi åpne for å elektrifisere norsk produksjon slik at vi lettere kan nå klimamålene som er satt i Parisavtalen.</w:t>
            </w:r>
          </w:p>
        </w:tc>
      </w:tr>
    </w:tbl>
    <w:p w14:paraId="5559F6E1" w14:textId="77777777" w:rsidR="00431FE1" w:rsidRPr="00431FE1" w:rsidRDefault="00431FE1" w:rsidP="00431FE1">
      <w:pPr>
        <w:spacing w:line="240" w:lineRule="auto"/>
        <w:rPr>
          <w:sz w:val="24"/>
          <w:szCs w:val="24"/>
          <w:lang w:val="nb-NO"/>
        </w:rPr>
      </w:pPr>
    </w:p>
    <w:p w14:paraId="776106CD" w14:textId="77777777" w:rsidR="00431FE1" w:rsidRPr="00431FE1" w:rsidRDefault="00431FE1" w:rsidP="00431FE1">
      <w:pPr>
        <w:rPr>
          <w:sz w:val="24"/>
          <w:szCs w:val="24"/>
          <w:lang w:val="nb-NO"/>
        </w:rPr>
      </w:pPr>
    </w:p>
    <w:p w14:paraId="604EEA58" w14:textId="77777777" w:rsidR="00431FE1" w:rsidRPr="00431FE1" w:rsidRDefault="00431FE1" w:rsidP="00431FE1">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3"/>
        <w:gridCol w:w="5007"/>
      </w:tblGrid>
      <w:tr w:rsidR="00431FE1" w:rsidRPr="00431FE1" w14:paraId="28777605" w14:textId="77777777" w:rsidTr="004D555C">
        <w:tc>
          <w:tcPr>
            <w:tcW w:w="4353" w:type="dxa"/>
            <w:shd w:val="clear" w:color="auto" w:fill="auto"/>
            <w:tcMar>
              <w:top w:w="100" w:type="dxa"/>
              <w:left w:w="100" w:type="dxa"/>
              <w:bottom w:w="100" w:type="dxa"/>
              <w:right w:w="100" w:type="dxa"/>
            </w:tcMar>
          </w:tcPr>
          <w:p w14:paraId="4E81262F" w14:textId="77777777" w:rsidR="00431FE1" w:rsidRPr="00431FE1" w:rsidRDefault="00431FE1" w:rsidP="00987775">
            <w:pPr>
              <w:widowControl w:val="0"/>
              <w:spacing w:line="240" w:lineRule="auto"/>
              <w:rPr>
                <w:b/>
                <w:sz w:val="24"/>
                <w:szCs w:val="24"/>
              </w:rPr>
            </w:pPr>
            <w:r w:rsidRPr="00431FE1">
              <w:rPr>
                <w:b/>
                <w:sz w:val="24"/>
                <w:szCs w:val="24"/>
              </w:rPr>
              <w:t xml:space="preserve">Type forslag: </w:t>
            </w:r>
            <w:r w:rsidRPr="00431FE1">
              <w:rPr>
                <w:sz w:val="24"/>
                <w:szCs w:val="24"/>
              </w:rPr>
              <w:t>Nytt punkt</w:t>
            </w:r>
          </w:p>
        </w:tc>
        <w:tc>
          <w:tcPr>
            <w:tcW w:w="5007" w:type="dxa"/>
            <w:shd w:val="clear" w:color="auto" w:fill="auto"/>
            <w:tcMar>
              <w:top w:w="100" w:type="dxa"/>
              <w:left w:w="100" w:type="dxa"/>
              <w:bottom w:w="100" w:type="dxa"/>
              <w:right w:w="100" w:type="dxa"/>
            </w:tcMar>
          </w:tcPr>
          <w:p w14:paraId="4BA2A859" w14:textId="77777777" w:rsidR="004D555C" w:rsidRPr="004937FA" w:rsidRDefault="004D555C" w:rsidP="004D555C">
            <w:pPr>
              <w:spacing w:line="240" w:lineRule="auto"/>
              <w:rPr>
                <w:b/>
                <w:sz w:val="24"/>
                <w:szCs w:val="24"/>
                <w:lang w:val="nb-NO"/>
              </w:rPr>
            </w:pPr>
            <w:r w:rsidRPr="004937FA">
              <w:rPr>
                <w:b/>
                <w:sz w:val="24"/>
                <w:szCs w:val="24"/>
                <w:lang w:val="nb-NO"/>
              </w:rPr>
              <w:t xml:space="preserve">Forslagsstiller: Hjalmar Kolsaker </w:t>
            </w:r>
          </w:p>
          <w:p w14:paraId="3A213EEA" w14:textId="77777777" w:rsidR="00431FE1" w:rsidRPr="00431FE1" w:rsidRDefault="004D555C" w:rsidP="004D555C">
            <w:pPr>
              <w:widowControl w:val="0"/>
              <w:spacing w:line="240" w:lineRule="auto"/>
              <w:rPr>
                <w:sz w:val="24"/>
                <w:szCs w:val="24"/>
                <w:lang w:val="nb-NO"/>
              </w:rPr>
            </w:pPr>
            <w:r w:rsidRPr="001F1060">
              <w:rPr>
                <w:sz w:val="24"/>
                <w:szCs w:val="24"/>
                <w:lang w:val="nb-NO"/>
              </w:rPr>
              <w:t>/ Rødt Oslos miljø- og samferdselsutvalg</w:t>
            </w:r>
          </w:p>
        </w:tc>
      </w:tr>
      <w:tr w:rsidR="00431FE1" w:rsidRPr="00431FE1" w14:paraId="031895D5" w14:textId="77777777" w:rsidTr="004D555C">
        <w:tc>
          <w:tcPr>
            <w:tcW w:w="4353" w:type="dxa"/>
            <w:shd w:val="clear" w:color="auto" w:fill="auto"/>
            <w:tcMar>
              <w:top w:w="100" w:type="dxa"/>
              <w:left w:w="100" w:type="dxa"/>
              <w:bottom w:w="100" w:type="dxa"/>
              <w:right w:w="100" w:type="dxa"/>
            </w:tcMar>
          </w:tcPr>
          <w:p w14:paraId="09F75D96" w14:textId="77777777" w:rsidR="00431FE1" w:rsidRPr="00431FE1" w:rsidRDefault="00431FE1" w:rsidP="00987775">
            <w:pPr>
              <w:spacing w:line="240" w:lineRule="auto"/>
              <w:rPr>
                <w:sz w:val="24"/>
                <w:szCs w:val="24"/>
              </w:rPr>
            </w:pPr>
            <w:r w:rsidRPr="00431FE1">
              <w:rPr>
                <w:b/>
                <w:sz w:val="24"/>
                <w:szCs w:val="24"/>
              </w:rPr>
              <w:t xml:space="preserve">Kapittel: </w:t>
            </w:r>
            <w:r w:rsidRPr="00431FE1">
              <w:rPr>
                <w:sz w:val="24"/>
                <w:szCs w:val="24"/>
              </w:rPr>
              <w:t>17</w:t>
            </w:r>
          </w:p>
        </w:tc>
        <w:tc>
          <w:tcPr>
            <w:tcW w:w="5007" w:type="dxa"/>
            <w:shd w:val="clear" w:color="auto" w:fill="auto"/>
            <w:tcMar>
              <w:top w:w="100" w:type="dxa"/>
              <w:left w:w="100" w:type="dxa"/>
              <w:bottom w:w="100" w:type="dxa"/>
              <w:right w:w="100" w:type="dxa"/>
            </w:tcMar>
          </w:tcPr>
          <w:p w14:paraId="71CDE6B5" w14:textId="0641F06A" w:rsidR="00431FE1" w:rsidRPr="00431FE1" w:rsidRDefault="00431FE1" w:rsidP="00987775">
            <w:pPr>
              <w:spacing w:line="240" w:lineRule="auto"/>
              <w:rPr>
                <w:sz w:val="24"/>
                <w:szCs w:val="24"/>
              </w:rPr>
            </w:pPr>
            <w:r w:rsidRPr="00431FE1">
              <w:rPr>
                <w:b/>
                <w:sz w:val="24"/>
                <w:szCs w:val="24"/>
              </w:rPr>
              <w:t xml:space="preserve">Punkt: </w:t>
            </w:r>
            <w:r w:rsidRPr="00431FE1">
              <w:rPr>
                <w:sz w:val="24"/>
                <w:szCs w:val="24"/>
              </w:rPr>
              <w:t>17.3</w:t>
            </w:r>
            <w:r w:rsidR="00D52E7B">
              <w:rPr>
                <w:sz w:val="24"/>
                <w:szCs w:val="24"/>
              </w:rPr>
              <w:t xml:space="preserve"> </w:t>
            </w:r>
            <w:r w:rsidR="00D52E7B">
              <w:rPr>
                <w:rFonts w:ascii="Helvetica" w:eastAsiaTheme="minorEastAsia" w:hAnsi="Helvetica" w:cs="Helvetica"/>
                <w:b/>
                <w:bCs/>
                <w:sz w:val="24"/>
                <w:szCs w:val="24"/>
                <w:lang w:val="en-US" w:eastAsia="nb-NO"/>
              </w:rPr>
              <w:t>En bedre oljenæring    </w:t>
            </w:r>
          </w:p>
        </w:tc>
      </w:tr>
      <w:tr w:rsidR="00431FE1" w:rsidRPr="00431FE1" w14:paraId="52C8A8FD" w14:textId="77777777" w:rsidTr="004D555C">
        <w:tc>
          <w:tcPr>
            <w:tcW w:w="4353" w:type="dxa"/>
            <w:shd w:val="clear" w:color="auto" w:fill="auto"/>
            <w:tcMar>
              <w:top w:w="100" w:type="dxa"/>
              <w:left w:w="100" w:type="dxa"/>
              <w:bottom w:w="100" w:type="dxa"/>
              <w:right w:w="100" w:type="dxa"/>
            </w:tcMar>
          </w:tcPr>
          <w:p w14:paraId="6138CB64" w14:textId="77777777" w:rsidR="00431FE1" w:rsidRPr="00431FE1" w:rsidRDefault="00431FE1" w:rsidP="00987775">
            <w:pPr>
              <w:spacing w:line="240" w:lineRule="auto"/>
              <w:rPr>
                <w:sz w:val="24"/>
                <w:szCs w:val="24"/>
              </w:rPr>
            </w:pPr>
            <w:r w:rsidRPr="00431FE1">
              <w:rPr>
                <w:b/>
                <w:sz w:val="24"/>
                <w:szCs w:val="24"/>
              </w:rPr>
              <w:t xml:space="preserve">Linjenummer: </w:t>
            </w:r>
            <w:r w:rsidRPr="00431FE1">
              <w:rPr>
                <w:sz w:val="24"/>
                <w:szCs w:val="24"/>
              </w:rPr>
              <w:t>N/A</w:t>
            </w:r>
          </w:p>
        </w:tc>
        <w:tc>
          <w:tcPr>
            <w:tcW w:w="5007" w:type="dxa"/>
            <w:shd w:val="clear" w:color="auto" w:fill="auto"/>
            <w:tcMar>
              <w:top w:w="100" w:type="dxa"/>
              <w:left w:w="100" w:type="dxa"/>
              <w:bottom w:w="100" w:type="dxa"/>
              <w:right w:w="100" w:type="dxa"/>
            </w:tcMar>
          </w:tcPr>
          <w:p w14:paraId="5ADFB251" w14:textId="77777777" w:rsidR="00431FE1" w:rsidRPr="00431FE1" w:rsidRDefault="00431FE1" w:rsidP="00987775">
            <w:pPr>
              <w:widowControl w:val="0"/>
              <w:spacing w:line="240" w:lineRule="auto"/>
              <w:rPr>
                <w:b/>
                <w:sz w:val="24"/>
                <w:szCs w:val="24"/>
              </w:rPr>
            </w:pPr>
          </w:p>
        </w:tc>
      </w:tr>
      <w:tr w:rsidR="00431FE1" w:rsidRPr="00431FE1" w14:paraId="00EC98C1" w14:textId="77777777" w:rsidTr="00987775">
        <w:trPr>
          <w:trHeight w:val="480"/>
        </w:trPr>
        <w:tc>
          <w:tcPr>
            <w:tcW w:w="9360" w:type="dxa"/>
            <w:gridSpan w:val="2"/>
            <w:shd w:val="clear" w:color="auto" w:fill="auto"/>
            <w:tcMar>
              <w:top w:w="100" w:type="dxa"/>
              <w:left w:w="100" w:type="dxa"/>
              <w:bottom w:w="100" w:type="dxa"/>
              <w:right w:w="100" w:type="dxa"/>
            </w:tcMar>
          </w:tcPr>
          <w:p w14:paraId="7707CA66" w14:textId="77777777" w:rsidR="00431FE1" w:rsidRPr="00431FE1" w:rsidRDefault="00431FE1" w:rsidP="00987775">
            <w:pPr>
              <w:spacing w:line="240" w:lineRule="auto"/>
              <w:rPr>
                <w:sz w:val="24"/>
                <w:szCs w:val="24"/>
              </w:rPr>
            </w:pPr>
            <w:r w:rsidRPr="00431FE1">
              <w:rPr>
                <w:b/>
                <w:sz w:val="24"/>
                <w:szCs w:val="24"/>
              </w:rPr>
              <w:t xml:space="preserve">Opprinnelig punkt: </w:t>
            </w:r>
            <w:r w:rsidRPr="00431FE1">
              <w:rPr>
                <w:sz w:val="24"/>
                <w:szCs w:val="24"/>
              </w:rPr>
              <w:t>N/A</w:t>
            </w:r>
          </w:p>
        </w:tc>
      </w:tr>
      <w:tr w:rsidR="00431FE1" w:rsidRPr="00431FE1" w14:paraId="746492B3" w14:textId="77777777" w:rsidTr="00987775">
        <w:trPr>
          <w:trHeight w:val="480"/>
        </w:trPr>
        <w:tc>
          <w:tcPr>
            <w:tcW w:w="9360" w:type="dxa"/>
            <w:gridSpan w:val="2"/>
            <w:shd w:val="clear" w:color="auto" w:fill="auto"/>
            <w:tcMar>
              <w:top w:w="100" w:type="dxa"/>
              <w:left w:w="100" w:type="dxa"/>
              <w:bottom w:w="100" w:type="dxa"/>
              <w:right w:w="100" w:type="dxa"/>
            </w:tcMar>
          </w:tcPr>
          <w:p w14:paraId="0FACD498" w14:textId="77777777" w:rsidR="00431FE1" w:rsidRPr="00431FE1" w:rsidRDefault="00431FE1" w:rsidP="00987775">
            <w:pPr>
              <w:widowControl w:val="0"/>
              <w:spacing w:line="240" w:lineRule="auto"/>
              <w:rPr>
                <w:sz w:val="24"/>
                <w:szCs w:val="24"/>
                <w:lang w:val="nb-NO"/>
              </w:rPr>
            </w:pPr>
            <w:r w:rsidRPr="00431FE1">
              <w:rPr>
                <w:b/>
                <w:sz w:val="24"/>
                <w:szCs w:val="24"/>
                <w:lang w:val="nb-NO"/>
              </w:rPr>
              <w:t xml:space="preserve">Nytt punkt: </w:t>
            </w:r>
            <w:r w:rsidRPr="00431FE1">
              <w:rPr>
                <w:sz w:val="24"/>
                <w:szCs w:val="24"/>
                <w:lang w:val="nb-NO"/>
              </w:rPr>
              <w:t xml:space="preserve">Skyting av seismikk skal ta hensyn til sjøpattedyr og alle andre havlevende dyr og sjøpattedyr skal derfor inkluderes i dagens seismikkveileder. </w:t>
            </w:r>
          </w:p>
        </w:tc>
      </w:tr>
      <w:tr w:rsidR="00431FE1" w:rsidRPr="00431FE1" w14:paraId="703D1DB2" w14:textId="77777777" w:rsidTr="00987775">
        <w:trPr>
          <w:trHeight w:val="480"/>
        </w:trPr>
        <w:tc>
          <w:tcPr>
            <w:tcW w:w="9360" w:type="dxa"/>
            <w:gridSpan w:val="2"/>
            <w:shd w:val="clear" w:color="auto" w:fill="auto"/>
            <w:tcMar>
              <w:top w:w="100" w:type="dxa"/>
              <w:left w:w="100" w:type="dxa"/>
              <w:bottom w:w="100" w:type="dxa"/>
              <w:right w:w="100" w:type="dxa"/>
            </w:tcMar>
          </w:tcPr>
          <w:p w14:paraId="515CCD4F" w14:textId="77777777" w:rsidR="00431FE1" w:rsidRPr="00431FE1" w:rsidRDefault="00431FE1" w:rsidP="00987775">
            <w:pPr>
              <w:widowControl w:val="0"/>
              <w:spacing w:line="240" w:lineRule="auto"/>
              <w:rPr>
                <w:sz w:val="24"/>
                <w:szCs w:val="24"/>
                <w:lang w:val="nb-NO"/>
              </w:rPr>
            </w:pPr>
            <w:r w:rsidRPr="00431FE1">
              <w:rPr>
                <w:b/>
                <w:sz w:val="24"/>
                <w:szCs w:val="24"/>
                <w:lang w:val="nb-NO"/>
              </w:rPr>
              <w:t xml:space="preserve">Begrunnelse: </w:t>
            </w:r>
            <w:r w:rsidRPr="00431FE1">
              <w:rPr>
                <w:sz w:val="24"/>
                <w:szCs w:val="24"/>
                <w:lang w:val="nb-NO"/>
              </w:rPr>
              <w:t>Det er viktig at skyting av seismikk tar hensyn til sjøpattedyr og alle andre havlevende dyr og det å inkludere dem i dagens seismikkveileder er en måte å gjøre dette på.</w:t>
            </w:r>
          </w:p>
        </w:tc>
      </w:tr>
    </w:tbl>
    <w:p w14:paraId="73A9393C" w14:textId="77777777" w:rsidR="00431FE1" w:rsidRPr="00431FE1" w:rsidRDefault="00431FE1" w:rsidP="00431FE1">
      <w:pPr>
        <w:spacing w:line="240" w:lineRule="auto"/>
        <w:rPr>
          <w:sz w:val="24"/>
          <w:szCs w:val="24"/>
          <w:lang w:val="nb-NO"/>
        </w:rPr>
      </w:pPr>
    </w:p>
    <w:p w14:paraId="3E05B180" w14:textId="77777777" w:rsidR="00431FE1" w:rsidRPr="00431FE1" w:rsidRDefault="00431FE1" w:rsidP="00431FE1">
      <w:pPr>
        <w:rPr>
          <w:sz w:val="24"/>
          <w:szCs w:val="24"/>
          <w:lang w:val="nb-NO"/>
        </w:rPr>
      </w:pPr>
    </w:p>
    <w:p w14:paraId="7B775B54" w14:textId="77777777" w:rsidR="00431FE1" w:rsidRPr="00431FE1" w:rsidRDefault="00431FE1" w:rsidP="00431FE1">
      <w:pPr>
        <w:rPr>
          <w:sz w:val="24"/>
          <w:szCs w:val="24"/>
          <w:lang w:val="nb-NO"/>
        </w:rPr>
      </w:pPr>
    </w:p>
    <w:p w14:paraId="2CF7B1EF" w14:textId="77777777" w:rsidR="00431FE1" w:rsidRDefault="00431FE1" w:rsidP="00431FE1">
      <w:pPr>
        <w:rPr>
          <w:sz w:val="24"/>
          <w:szCs w:val="24"/>
          <w:lang w:val="nb-NO"/>
        </w:rPr>
      </w:pPr>
      <w:r w:rsidRPr="00431FE1">
        <w:rPr>
          <w:i/>
          <w:sz w:val="24"/>
          <w:szCs w:val="24"/>
          <w:u w:val="single"/>
          <w:lang w:val="nb-NO"/>
        </w:rPr>
        <w:t>/end kap 17 Olje og gass</w:t>
      </w:r>
    </w:p>
    <w:p w14:paraId="3571E096" w14:textId="77777777" w:rsidR="000F3DA4" w:rsidRDefault="000F3DA4"/>
    <w:sectPr w:rsidR="000F3DA4" w:rsidSect="000F3D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E1"/>
    <w:rsid w:val="000F3DA4"/>
    <w:rsid w:val="00431FE1"/>
    <w:rsid w:val="004D555C"/>
    <w:rsid w:val="00D52E7B"/>
    <w:rsid w:val="00D736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71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E1"/>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31FE1"/>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E1"/>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31FE1"/>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anleycenter.org/wp-content/uploads/2020/09/CCAI-FourDsOfOilsJustTransition92820.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1005</Words>
  <Characters>5327</Characters>
  <Application>Microsoft Macintosh Word</Application>
  <DocSecurity>0</DocSecurity>
  <Lines>44</Lines>
  <Paragraphs>12</Paragraphs>
  <ScaleCrop>false</ScaleCrop>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4</cp:revision>
  <dcterms:created xsi:type="dcterms:W3CDTF">2020-11-02T14:58:00Z</dcterms:created>
  <dcterms:modified xsi:type="dcterms:W3CDTF">2020-11-05T14:47:00Z</dcterms:modified>
</cp:coreProperties>
</file>